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val="0"/>
        <w:spacing w:line="560" w:lineRule="exact"/>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特克斯县交通运输局</w:t>
      </w:r>
      <w:r>
        <w:rPr>
          <w:rFonts w:hint="eastAsia" w:ascii="方正小标宋_GBK" w:hAnsi="华文中宋" w:eastAsia="方正小标宋_GBK" w:cs="宋体"/>
          <w:b/>
          <w:kern w:val="0"/>
          <w:sz w:val="48"/>
          <w:szCs w:val="48"/>
        </w:rPr>
        <w:t>整体支出绩效自评报告</w:t>
      </w:r>
    </w:p>
    <w:bookmarkEnd w:id="0"/>
    <w:p>
      <w:pPr>
        <w:pageBreakBefore w:val="0"/>
        <w:kinsoku/>
        <w:wordWrap/>
        <w:overflowPunct/>
        <w:topLinePunct w:val="0"/>
        <w:autoSpaceDE/>
        <w:autoSpaceDN/>
        <w:bidi w:val="0"/>
        <w:adjustRightInd/>
        <w:spacing w:line="56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exact"/>
        <w:jc w:val="left"/>
        <w:rPr>
          <w:rFonts w:hAnsi="宋体" w:eastAsia="仿宋_GB2312" w:cs="宋体"/>
          <w:kern w:val="0"/>
          <w:sz w:val="36"/>
          <w:szCs w:val="36"/>
        </w:rPr>
      </w:pPr>
    </w:p>
    <w:p>
      <w:pPr>
        <w:pStyle w:val="8"/>
        <w:rPr>
          <w:rFonts w:hAnsi="宋体" w:eastAsia="仿宋_GB2312" w:cs="宋体"/>
          <w:kern w:val="0"/>
          <w:sz w:val="36"/>
          <w:szCs w:val="36"/>
        </w:rPr>
      </w:pPr>
    </w:p>
    <w:p/>
    <w:p>
      <w:pPr>
        <w:pageBreakBefore w:val="0"/>
        <w:kinsoku/>
        <w:wordWrap/>
        <w:overflowPunct/>
        <w:topLinePunct w:val="0"/>
        <w:autoSpaceDE/>
        <w:autoSpaceDN/>
        <w:bidi w:val="0"/>
        <w:adjustRightInd/>
        <w:spacing w:line="56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特克斯县交通运输局</w:t>
      </w:r>
    </w:p>
    <w:p>
      <w:pPr>
        <w:pageBreakBefore w:val="0"/>
        <w:kinsoku/>
        <w:wordWrap/>
        <w:overflowPunct/>
        <w:topLinePunct w:val="0"/>
        <w:autoSpaceDE/>
        <w:autoSpaceDN/>
        <w:bidi w:val="0"/>
        <w:adjustRightInd/>
        <w:spacing w:line="56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pStyle w:val="8"/>
        <w:rPr>
          <w:rFonts w:hint="eastAsia" w:hAnsi="宋体" w:eastAsia="仿宋_GB2312" w:cs="宋体"/>
          <w:kern w:val="0"/>
          <w:sz w:val="36"/>
          <w:szCs w:val="36"/>
        </w:rPr>
      </w:pPr>
    </w:p>
    <w:p>
      <w:pPr>
        <w:rPr>
          <w:rFonts w:hint="eastAsia" w:hAnsi="宋体" w:eastAsia="仿宋_GB2312" w:cs="宋体"/>
          <w:kern w:val="0"/>
          <w:sz w:val="36"/>
          <w:szCs w:val="36"/>
        </w:rPr>
      </w:pPr>
    </w:p>
    <w:p>
      <w:pPr>
        <w:pStyle w:val="8"/>
        <w:ind w:left="0" w:leftChars="0" w:firstLine="0" w:firstLineChars="0"/>
        <w:rPr>
          <w:rFonts w:hint="eastAsia" w:hAnsi="宋体" w:eastAsia="仿宋_GB2312" w:cs="宋体"/>
          <w:kern w:val="0"/>
          <w:sz w:val="36"/>
          <w:szCs w:val="36"/>
        </w:rPr>
      </w:pPr>
    </w:p>
    <w:p/>
    <w:p>
      <w:pPr>
        <w:pStyle w:val="4"/>
        <w:pageBreakBefore w:val="0"/>
        <w:kinsoku/>
        <w:wordWrap/>
        <w:overflowPunct/>
        <w:topLinePunct w:val="0"/>
        <w:autoSpaceDE/>
        <w:autoSpaceDN/>
        <w:bidi w:val="0"/>
        <w:adjustRightInd/>
        <w:spacing w:before="0" w:after="0" w:line="560" w:lineRule="exact"/>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5"/>
        <w:pageBreakBefore w:val="0"/>
        <w:kinsoku/>
        <w:wordWrap/>
        <w:overflowPunct/>
        <w:topLinePunct w:val="0"/>
        <w:autoSpaceDE/>
        <w:autoSpaceDN/>
        <w:bidi w:val="0"/>
        <w:adjustRightInd/>
        <w:spacing w:before="0" w:after="0" w:line="560" w:lineRule="exact"/>
        <w:rPr>
          <w:rStyle w:val="19"/>
          <w:rFonts w:ascii="仿宋" w:hAnsi="仿宋" w:eastAsia="仿宋"/>
          <w:b/>
          <w:bCs/>
        </w:rPr>
      </w:pPr>
      <w:bookmarkStart w:id="2" w:name="_Toc70450290"/>
      <w:r>
        <w:rPr>
          <w:rStyle w:val="19"/>
          <w:rFonts w:hint="eastAsia" w:ascii="仿宋" w:hAnsi="仿宋" w:eastAsia="仿宋"/>
          <w:b/>
          <w:bCs/>
        </w:rPr>
        <w:t>（一）部门单位基本情况</w:t>
      </w:r>
      <w:bookmarkEnd w:id="2"/>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1.负责推进综合交通运输体系建设，规划公路、铁路、水路、民航等行业发展，指导做好县、乡、村三级物流体系建设管理有关工作，建立与综合交通运输体系相适应的制度体制机制，优化交通运输主要通道和重要枢纽节点布局，促进各种交通运输方式融合。</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2.组织拟订综合交通运输发展战略、政策和标准。组织编制综合交通运输体系专项规划。拟订公路、铁路、水路、民航发展战略、政策和专项规划，统筹衔接物流行业规划，指导综合交通运输枢纽规划和管理。参与拟订物流业发展战略和规划，拟订有关政策和标准并监督实施。组织拟订有关贯彻法律、法规的实施意见。负责拟订综合运输计划并组织实施。协调综合运输计划。负责协调衔接各种交通运输方式标准。承担县级综合交通运输体制改革工作，指导行业有关改革工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3.承担综合交通运输市场监管。负责综合运输有关政策、准入制度、技术标准和运营规范的组织实施。配合协调开展通用机场运营管理。指导城乡客运及有关设施规划和管理工作，指导出租汽车行业管理工作。指导公共汽车、城市轨道交通的运营和汽车租赁。负责权限内汽车出入境运输、河流及库区运输有关管理工作。监督执行经营性机动车营运安全标准，指导管理营运车辆综合性能检测。</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4.负责水路的行业管理。负责权限内的水上交通安全监督管理。负责水上交通管制、船舶及有关水上设施检验、登记和防止污染、救助打捞、通信导航、航道管理养护、船舶与港口设施安全及危险品运输监督管理工作。负责船员管理有关工作。指导本县管理水域水上交通安全事故、船舶及有关水上设施污染事故的应急处置，依法组织或参与事故调查处理工作。负责港口、码头、水运的行业管理。负责渔船检验和监督管理工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5.指导协调国际、国内、省内航线开发，提出有关政策措施。协调空域资源开发利用。依法对民用机场的机场净空、电磁环境、控制用地保护等工作实施监管。履行县政府规定和授权的机场行政管理。</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6.负责提出全县公路、铁路、水路、民航固定资产投资规模和方向，按照规定权限提出财政性资金安排建议并监督实施。统筹管理支配全县公路事业发展资金、本县预算内公路基础设施建设资金。负责按照规定权限审批、核准公路、铁路、水路、民航固定资产投资项目并监督实施。负责全县公路通行费监督管理，按规定会同有关部门审核收费标准。</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7.负责交通运输基础设施建设、管理、养护、市场的行业监管。负责基础设施工程建设、管理、养护有关政策、制度和技术标准及实施细则、办法的组织实施。负责组织协调公路、地方铁路、水路有关重点工程建设和工程质量、安全生产监督管理工作。配合国家铁路项目建设工作。协调推进机场建设，组织开展监督检查工作。负责交通运输基础设施管理和维护，承担有关重要设施的管理和维护。承担国家、省、州、县重点交通基本建设项目的绩效监督和管理工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8.指导行业安全生产和应急管理工作，协调配合县内民航突发事件及大面积航班延误等处置工作。按照规定组织协调重点物资和紧急客货运输，负责路网运行监测和协调。承担国防动员有关工作，负责交通战备日常工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9.指导交通运输信息化建设，承担综合交通运输统计工作，监测分析交通运输运行情况，发布有关信息。指导交通运输行业科技、教育培训、环境保护、绿色交通和节能减排工作。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10.协调中央、自治区、自治州垂直管理的公路、铁路、民航、国家海事工作，负责地方海事等涉及地方的有关工作，负责交通运输对外合作与交流工作。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11.指导交通运输综合执法和队伍建设工作，负责行政执法监督。负责法律、法规明确要求由县级承担的交通运输综合行政执法职责。制定行业社会治安综合治理和维护稳定管理办法并监督实施。</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12.负责本县重点开发开放建设和管理中涉及本单位相关职能职责。</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lang w:eastAsia="zh-CN"/>
        </w:rPr>
      </w:pPr>
      <w:r>
        <w:rPr>
          <w:rStyle w:val="19"/>
          <w:rFonts w:hint="eastAsia" w:ascii="仿宋_GB2312" w:hAnsi="楷体" w:eastAsia="仿宋_GB2312" w:cs="Times New Roman"/>
          <w:b w:val="0"/>
          <w:spacing w:val="-4"/>
          <w:sz w:val="28"/>
          <w:szCs w:val="28"/>
          <w:lang w:eastAsia="zh-CN"/>
        </w:rPr>
        <w:t>13.承办县委、县政府交办的其他任务。</w:t>
      </w:r>
    </w:p>
    <w:p>
      <w:pPr>
        <w:pStyle w:val="6"/>
        <w:pageBreakBefore w:val="0"/>
        <w:kinsoku/>
        <w:wordWrap/>
        <w:overflowPunct/>
        <w:topLinePunct w:val="0"/>
        <w:autoSpaceDE/>
        <w:autoSpaceDN/>
        <w:bidi w:val="0"/>
        <w:adjustRightInd/>
        <w:spacing w:before="0" w:after="0" w:line="560" w:lineRule="exact"/>
        <w:ind w:firstLine="281" w:firstLineChars="100"/>
        <w:rPr>
          <w:rStyle w:val="19"/>
          <w:rFonts w:ascii="仿宋" w:hAnsi="仿宋" w:eastAsia="仿宋"/>
          <w:b/>
          <w:bCs/>
        </w:rPr>
      </w:pPr>
      <w:bookmarkStart w:id="3" w:name="_Toc70450292"/>
      <w:r>
        <w:rPr>
          <w:rStyle w:val="19"/>
          <w:rFonts w:hint="eastAsia" w:ascii="仿宋" w:hAnsi="仿宋" w:eastAsia="仿宋"/>
          <w:b/>
          <w:bCs/>
        </w:rPr>
        <w:t>2、机构人员构成</w:t>
      </w:r>
      <w:bookmarkEnd w:id="3"/>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（1）组织机构设置：</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lang w:eastAsia="zh-CN"/>
        </w:rPr>
        <w:t>特克斯县交通运输局</w:t>
      </w:r>
      <w:r>
        <w:rPr>
          <w:rStyle w:val="19"/>
          <w:rFonts w:hint="eastAsia" w:ascii="仿宋_GB2312" w:hAnsi="楷体" w:eastAsia="仿宋_GB2312"/>
          <w:b w:val="0"/>
          <w:spacing w:val="-4"/>
          <w:sz w:val="28"/>
          <w:szCs w:val="28"/>
        </w:rPr>
        <w:t>无下属预算单位，下设</w:t>
      </w:r>
      <w:r>
        <w:rPr>
          <w:rStyle w:val="19"/>
          <w:rFonts w:hint="eastAsia" w:ascii="仿宋_GB2312" w:hAnsi="楷体" w:eastAsia="仿宋_GB2312"/>
          <w:b w:val="0"/>
          <w:spacing w:val="-4"/>
          <w:sz w:val="28"/>
          <w:szCs w:val="28"/>
          <w:lang w:val="en-US" w:eastAsia="zh-CN"/>
        </w:rPr>
        <w:t>1</w:t>
      </w:r>
      <w:r>
        <w:rPr>
          <w:rStyle w:val="19"/>
          <w:rFonts w:hint="eastAsia" w:ascii="仿宋_GB2312" w:hAnsi="楷体" w:eastAsia="仿宋_GB2312"/>
          <w:b w:val="0"/>
          <w:spacing w:val="-4"/>
          <w:sz w:val="28"/>
          <w:szCs w:val="28"/>
        </w:rPr>
        <w:t>个</w:t>
      </w:r>
      <w:r>
        <w:rPr>
          <w:rStyle w:val="19"/>
          <w:rFonts w:hint="eastAsia" w:ascii="仿宋_GB2312" w:hAnsi="楷体" w:eastAsia="仿宋_GB2312"/>
          <w:b w:val="0"/>
          <w:spacing w:val="-4"/>
          <w:sz w:val="28"/>
          <w:szCs w:val="28"/>
          <w:lang w:val="en-US" w:eastAsia="zh-CN"/>
        </w:rPr>
        <w:t>科</w:t>
      </w:r>
      <w:r>
        <w:rPr>
          <w:rStyle w:val="19"/>
          <w:rFonts w:hint="eastAsia" w:ascii="仿宋_GB2312" w:hAnsi="楷体" w:eastAsia="仿宋_GB2312"/>
          <w:b w:val="0"/>
          <w:spacing w:val="-4"/>
          <w:sz w:val="28"/>
          <w:szCs w:val="28"/>
        </w:rPr>
        <w:t>室，分别是：</w:t>
      </w:r>
      <w:r>
        <w:rPr>
          <w:rStyle w:val="19"/>
          <w:rFonts w:hint="eastAsia" w:ascii="仿宋_GB2312" w:hAnsi="楷体" w:eastAsia="仿宋_GB2312"/>
          <w:b w:val="0"/>
          <w:spacing w:val="-4"/>
          <w:sz w:val="28"/>
          <w:szCs w:val="28"/>
          <w:lang w:eastAsia="zh-CN"/>
        </w:rPr>
        <w:t>综合业务科</w:t>
      </w:r>
      <w:r>
        <w:rPr>
          <w:rStyle w:val="19"/>
          <w:rFonts w:hint="eastAsia" w:ascii="仿宋_GB2312" w:hAnsi="楷体" w:eastAsia="仿宋_GB2312"/>
          <w:b w:val="0"/>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（2）2021年</w:t>
      </w:r>
      <w:r>
        <w:rPr>
          <w:rStyle w:val="19"/>
          <w:rFonts w:hint="eastAsia" w:ascii="仿宋_GB2312" w:hAnsi="楷体" w:eastAsia="仿宋_GB2312"/>
          <w:b w:val="0"/>
          <w:spacing w:val="-4"/>
          <w:sz w:val="28"/>
          <w:szCs w:val="28"/>
          <w:lang w:eastAsia="zh-CN"/>
        </w:rPr>
        <w:t>特克斯县交通运输局</w:t>
      </w:r>
      <w:r>
        <w:rPr>
          <w:rStyle w:val="19"/>
          <w:rFonts w:hint="eastAsia" w:ascii="仿宋_GB2312" w:hAnsi="楷体" w:eastAsia="仿宋_GB2312"/>
          <w:b w:val="0"/>
          <w:spacing w:val="-4"/>
          <w:sz w:val="28"/>
          <w:szCs w:val="28"/>
        </w:rPr>
        <w:t>实有在职人员为</w:t>
      </w:r>
      <w:r>
        <w:rPr>
          <w:rStyle w:val="19"/>
          <w:rFonts w:hint="eastAsia" w:ascii="仿宋_GB2312" w:hAnsi="楷体" w:eastAsia="仿宋_GB2312"/>
          <w:b w:val="0"/>
          <w:spacing w:val="-4"/>
          <w:sz w:val="28"/>
          <w:szCs w:val="28"/>
          <w:lang w:val="en-US" w:eastAsia="zh-CN"/>
        </w:rPr>
        <w:t>20</w:t>
      </w:r>
      <w:r>
        <w:rPr>
          <w:rStyle w:val="19"/>
          <w:rFonts w:hint="eastAsia" w:ascii="仿宋_GB2312" w:hAnsi="楷体" w:eastAsia="仿宋_GB2312"/>
          <w:b w:val="0"/>
          <w:spacing w:val="-4"/>
          <w:sz w:val="28"/>
          <w:szCs w:val="28"/>
        </w:rPr>
        <w:t>人，其中：</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rPr>
      </w:pPr>
      <w:r>
        <w:rPr>
          <w:rStyle w:val="19"/>
          <w:rFonts w:hint="eastAsia" w:ascii="仿宋_GB2312" w:hAnsi="楷体" w:eastAsia="仿宋_GB2312"/>
          <w:b w:val="0"/>
          <w:spacing w:val="-4"/>
          <w:sz w:val="28"/>
          <w:szCs w:val="28"/>
        </w:rPr>
        <w:t>行政在职</w:t>
      </w:r>
      <w:r>
        <w:rPr>
          <w:rStyle w:val="19"/>
          <w:rFonts w:hint="eastAsia" w:ascii="仿宋_GB2312" w:hAnsi="楷体" w:eastAsia="仿宋_GB2312"/>
          <w:b w:val="0"/>
          <w:spacing w:val="-4"/>
          <w:sz w:val="28"/>
          <w:szCs w:val="28"/>
          <w:lang w:val="en-US" w:eastAsia="zh-CN"/>
        </w:rPr>
        <w:t>20</w:t>
      </w:r>
      <w:r>
        <w:rPr>
          <w:rStyle w:val="19"/>
          <w:rFonts w:hint="eastAsia" w:ascii="仿宋_GB2312" w:hAnsi="楷体" w:eastAsia="仿宋_GB2312"/>
          <w:b w:val="0"/>
          <w:spacing w:val="-4"/>
          <w:sz w:val="28"/>
          <w:szCs w:val="28"/>
        </w:rPr>
        <w:t>人（上年</w:t>
      </w:r>
      <w:r>
        <w:rPr>
          <w:rStyle w:val="19"/>
          <w:rFonts w:hint="eastAsia" w:ascii="仿宋_GB2312" w:hAnsi="楷体" w:eastAsia="仿宋_GB2312"/>
          <w:b w:val="0"/>
          <w:spacing w:val="-4"/>
          <w:sz w:val="28"/>
          <w:szCs w:val="28"/>
          <w:lang w:val="en-US" w:eastAsia="zh-CN"/>
        </w:rPr>
        <w:t>23</w:t>
      </w:r>
      <w:r>
        <w:rPr>
          <w:rStyle w:val="19"/>
          <w:rFonts w:hint="eastAsia" w:ascii="仿宋_GB2312" w:hAnsi="楷体" w:eastAsia="仿宋_GB2312"/>
          <w:b w:val="0"/>
          <w:spacing w:val="-4"/>
          <w:sz w:val="28"/>
          <w:szCs w:val="28"/>
        </w:rPr>
        <w:t>人），同比上年减少</w:t>
      </w:r>
      <w:r>
        <w:rPr>
          <w:rStyle w:val="19"/>
          <w:rFonts w:hint="eastAsia" w:ascii="仿宋_GB2312" w:hAnsi="楷体" w:eastAsia="仿宋_GB2312"/>
          <w:b w:val="0"/>
          <w:spacing w:val="-4"/>
          <w:sz w:val="28"/>
          <w:szCs w:val="28"/>
          <w:lang w:val="en-US" w:eastAsia="zh-CN"/>
        </w:rPr>
        <w:t>3</w:t>
      </w:r>
      <w:r>
        <w:rPr>
          <w:rStyle w:val="19"/>
          <w:rFonts w:hint="eastAsia" w:ascii="仿宋_GB2312" w:hAnsi="楷体" w:eastAsia="仿宋_GB2312"/>
          <w:b w:val="0"/>
          <w:spacing w:val="-4"/>
          <w:sz w:val="28"/>
          <w:szCs w:val="28"/>
        </w:rPr>
        <w:t>人；</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color w:val="auto"/>
          <w:spacing w:val="-4"/>
          <w:sz w:val="28"/>
          <w:szCs w:val="28"/>
          <w:lang w:eastAsia="zh-CN"/>
        </w:rPr>
      </w:pPr>
      <w:r>
        <w:rPr>
          <w:rStyle w:val="19"/>
          <w:rFonts w:hint="eastAsia" w:ascii="仿宋_GB2312" w:hAnsi="楷体" w:eastAsia="仿宋_GB2312"/>
          <w:b w:val="0"/>
          <w:spacing w:val="-4"/>
          <w:sz w:val="28"/>
          <w:szCs w:val="28"/>
        </w:rPr>
        <w:t>实有</w:t>
      </w:r>
      <w:r>
        <w:rPr>
          <w:rStyle w:val="19"/>
          <w:rFonts w:hint="eastAsia" w:ascii="仿宋_GB2312" w:hAnsi="楷体" w:eastAsia="仿宋_GB2312"/>
          <w:b w:val="0"/>
          <w:color w:val="auto"/>
          <w:spacing w:val="-4"/>
          <w:sz w:val="28"/>
          <w:szCs w:val="28"/>
        </w:rPr>
        <w:t>离休人员</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人（上年</w:t>
      </w:r>
      <w:r>
        <w:rPr>
          <w:rStyle w:val="19"/>
          <w:rFonts w:hint="eastAsia" w:ascii="仿宋_GB2312" w:hAnsi="楷体" w:eastAsia="仿宋_GB2312"/>
          <w:b w:val="0"/>
          <w:color w:val="auto"/>
          <w:spacing w:val="-4"/>
          <w:sz w:val="28"/>
          <w:szCs w:val="28"/>
          <w:lang w:val="en-US" w:eastAsia="zh-CN"/>
        </w:rPr>
        <w:t>0</w:t>
      </w:r>
      <w:r>
        <w:rPr>
          <w:rStyle w:val="19"/>
          <w:rFonts w:hint="eastAsia" w:ascii="仿宋_GB2312" w:hAnsi="楷体" w:eastAsia="仿宋_GB2312"/>
          <w:b w:val="0"/>
          <w:color w:val="auto"/>
          <w:spacing w:val="-4"/>
          <w:sz w:val="28"/>
          <w:szCs w:val="28"/>
        </w:rPr>
        <w:t>人）,与上年一致</w:t>
      </w:r>
      <w:r>
        <w:rPr>
          <w:rStyle w:val="19"/>
          <w:rFonts w:hint="eastAsia" w:ascii="仿宋_GB2312" w:hAnsi="楷体" w:eastAsia="仿宋_GB2312"/>
          <w:b w:val="0"/>
          <w:color w:val="auto"/>
          <w:spacing w:val="-4"/>
          <w:sz w:val="28"/>
          <w:szCs w:val="28"/>
          <w:lang w:eastAsia="zh-CN"/>
        </w:rPr>
        <w:t>；</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color w:val="auto"/>
          <w:spacing w:val="-4"/>
          <w:sz w:val="28"/>
          <w:szCs w:val="28"/>
        </w:rPr>
      </w:pPr>
      <w:r>
        <w:rPr>
          <w:rStyle w:val="19"/>
          <w:rFonts w:hint="eastAsia" w:ascii="仿宋_GB2312" w:hAnsi="楷体" w:eastAsia="仿宋_GB2312"/>
          <w:b w:val="0"/>
          <w:color w:val="auto"/>
          <w:spacing w:val="-4"/>
          <w:sz w:val="28"/>
          <w:szCs w:val="28"/>
        </w:rPr>
        <w:t>实有退休人员</w:t>
      </w:r>
      <w:r>
        <w:rPr>
          <w:rStyle w:val="19"/>
          <w:rFonts w:hint="eastAsia" w:ascii="仿宋_GB2312" w:hAnsi="楷体" w:eastAsia="仿宋_GB2312"/>
          <w:b w:val="0"/>
          <w:color w:val="auto"/>
          <w:spacing w:val="-4"/>
          <w:sz w:val="28"/>
          <w:szCs w:val="28"/>
          <w:lang w:val="en-US" w:eastAsia="zh-CN"/>
        </w:rPr>
        <w:t>9</w:t>
      </w:r>
      <w:r>
        <w:rPr>
          <w:rStyle w:val="19"/>
          <w:rFonts w:hint="eastAsia" w:ascii="仿宋_GB2312" w:hAnsi="楷体" w:eastAsia="仿宋_GB2312"/>
          <w:b w:val="0"/>
          <w:color w:val="auto"/>
          <w:spacing w:val="-4"/>
          <w:sz w:val="28"/>
          <w:szCs w:val="28"/>
        </w:rPr>
        <w:t>人（上年</w:t>
      </w:r>
      <w:r>
        <w:rPr>
          <w:rStyle w:val="19"/>
          <w:rFonts w:hint="eastAsia" w:ascii="仿宋_GB2312" w:hAnsi="楷体" w:eastAsia="仿宋_GB2312"/>
          <w:b w:val="0"/>
          <w:color w:val="auto"/>
          <w:spacing w:val="-4"/>
          <w:sz w:val="28"/>
          <w:szCs w:val="28"/>
          <w:lang w:val="en-US" w:eastAsia="zh-CN"/>
        </w:rPr>
        <w:t>8</w:t>
      </w:r>
      <w:r>
        <w:rPr>
          <w:rStyle w:val="19"/>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9"/>
          <w:rFonts w:hint="eastAsia" w:ascii="仿宋_GB2312" w:hAnsi="楷体" w:eastAsia="仿宋_GB2312"/>
          <w:b w:val="0"/>
          <w:color w:val="auto"/>
          <w:spacing w:val="-4"/>
          <w:sz w:val="28"/>
          <w:szCs w:val="28"/>
        </w:rPr>
        <w:t>同比上年增加</w:t>
      </w:r>
      <w:r>
        <w:rPr>
          <w:rStyle w:val="19"/>
          <w:rFonts w:hint="eastAsia" w:ascii="仿宋_GB2312" w:hAnsi="楷体" w:eastAsia="仿宋_GB2312"/>
          <w:b w:val="0"/>
          <w:color w:val="auto"/>
          <w:spacing w:val="-4"/>
          <w:sz w:val="28"/>
          <w:szCs w:val="28"/>
          <w:lang w:val="en-US" w:eastAsia="zh-CN"/>
        </w:rPr>
        <w:t>1</w:t>
      </w:r>
      <w:r>
        <w:rPr>
          <w:rStyle w:val="19"/>
          <w:rFonts w:hint="eastAsia" w:ascii="仿宋_GB2312" w:hAnsi="楷体" w:eastAsia="仿宋_GB2312"/>
          <w:b w:val="0"/>
          <w:color w:val="auto"/>
          <w:spacing w:val="-4"/>
          <w:sz w:val="28"/>
          <w:szCs w:val="28"/>
        </w:rPr>
        <w:t>人。</w:t>
      </w:r>
    </w:p>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4" w:name="_Toc70450293"/>
      <w:r>
        <w:rPr>
          <w:rStyle w:val="19"/>
          <w:rFonts w:ascii="仿宋" w:hAnsi="仿宋" w:eastAsia="仿宋"/>
          <w:b/>
          <w:bCs/>
        </w:rPr>
        <w:t>3</w:t>
      </w:r>
      <w:r>
        <w:rPr>
          <w:rStyle w:val="19"/>
          <w:rFonts w:hint="eastAsia" w:ascii="仿宋" w:hAnsi="仿宋" w:eastAsia="仿宋"/>
          <w:b/>
          <w:bCs/>
        </w:rPr>
        <w:t>、重点工作计划</w:t>
      </w:r>
      <w:bookmarkEnd w:id="4"/>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highlight w:val="none"/>
          <w:lang w:eastAsia="zh-CN"/>
        </w:rPr>
      </w:pPr>
      <w:r>
        <w:rPr>
          <w:rStyle w:val="19"/>
          <w:rFonts w:hint="eastAsia" w:ascii="仿宋_GB2312" w:hAnsi="楷体" w:eastAsia="仿宋_GB2312" w:cs="Times New Roman"/>
          <w:b w:val="0"/>
          <w:spacing w:val="-4"/>
          <w:sz w:val="28"/>
          <w:szCs w:val="28"/>
          <w:highlight w:val="none"/>
          <w:lang w:eastAsia="zh-CN"/>
        </w:rPr>
        <w:t>1.人员保障。计划投入</w:t>
      </w:r>
      <w:r>
        <w:rPr>
          <w:rStyle w:val="19"/>
          <w:rFonts w:hint="eastAsia" w:ascii="仿宋_GB2312" w:hAnsi="楷体" w:eastAsia="仿宋_GB2312" w:cs="Times New Roman"/>
          <w:b w:val="0"/>
          <w:spacing w:val="-4"/>
          <w:sz w:val="28"/>
          <w:szCs w:val="28"/>
          <w:highlight w:val="none"/>
          <w:lang w:val="en-US" w:eastAsia="zh-CN"/>
        </w:rPr>
        <w:t>157.08万元，</w:t>
      </w:r>
      <w:r>
        <w:rPr>
          <w:rStyle w:val="19"/>
          <w:rFonts w:hint="eastAsia" w:ascii="仿宋_GB2312" w:hAnsi="楷体" w:eastAsia="仿宋_GB2312" w:cs="Times New Roman"/>
          <w:b w:val="0"/>
          <w:spacing w:val="-4"/>
          <w:sz w:val="28"/>
          <w:szCs w:val="28"/>
          <w:highlight w:val="none"/>
          <w:lang w:eastAsia="zh-CN"/>
        </w:rPr>
        <w:t>保证单位财政供养人员基本工资、津贴补贴、艰边补助预算的收支，确保单位工作正常</w:t>
      </w:r>
      <w:r>
        <w:rPr>
          <w:rStyle w:val="19"/>
          <w:rFonts w:hint="eastAsia" w:ascii="仿宋_GB2312" w:hAnsi="楷体" w:eastAsia="仿宋_GB2312" w:cs="Times New Roman"/>
          <w:b w:val="0"/>
          <w:spacing w:val="-4"/>
          <w:sz w:val="28"/>
          <w:szCs w:val="28"/>
          <w:highlight w:val="none"/>
          <w:lang w:val="en-US" w:eastAsia="zh-CN"/>
        </w:rPr>
        <w:t>有序运行</w:t>
      </w:r>
      <w:r>
        <w:rPr>
          <w:rStyle w:val="19"/>
          <w:rFonts w:hint="eastAsia" w:ascii="仿宋_GB2312" w:hAnsi="楷体" w:eastAsia="仿宋_GB2312" w:cs="Times New Roman"/>
          <w:b w:val="0"/>
          <w:spacing w:val="-4"/>
          <w:sz w:val="28"/>
          <w:szCs w:val="28"/>
          <w:highlight w:val="none"/>
          <w:lang w:eastAsia="zh-CN"/>
        </w:rPr>
        <w:t>，提升工作效率。</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highlight w:val="none"/>
          <w:lang w:eastAsia="zh-CN"/>
        </w:rPr>
      </w:pPr>
      <w:r>
        <w:rPr>
          <w:rStyle w:val="19"/>
          <w:rFonts w:hint="eastAsia" w:ascii="仿宋_GB2312" w:hAnsi="楷体" w:eastAsia="仿宋_GB2312" w:cs="Times New Roman"/>
          <w:b w:val="0"/>
          <w:spacing w:val="-4"/>
          <w:sz w:val="28"/>
          <w:szCs w:val="28"/>
          <w:highlight w:val="none"/>
          <w:lang w:eastAsia="zh-CN"/>
        </w:rPr>
        <w:t>2.运转保障。计划投入</w:t>
      </w:r>
      <w:r>
        <w:rPr>
          <w:rStyle w:val="19"/>
          <w:rFonts w:hint="eastAsia" w:ascii="仿宋_GB2312" w:hAnsi="楷体" w:eastAsia="仿宋_GB2312" w:cs="Times New Roman"/>
          <w:b w:val="0"/>
          <w:spacing w:val="-4"/>
          <w:sz w:val="28"/>
          <w:szCs w:val="28"/>
          <w:highlight w:val="none"/>
          <w:lang w:val="en-US" w:eastAsia="zh-CN"/>
        </w:rPr>
        <w:t>5.6万元，用于日常办公费、取暖费、三公经费、工会经费、福利费及其他商品和服务支出，</w:t>
      </w:r>
      <w:r>
        <w:rPr>
          <w:rStyle w:val="19"/>
          <w:rFonts w:hint="eastAsia" w:ascii="仿宋_GB2312" w:hAnsi="楷体" w:eastAsia="仿宋_GB2312" w:cs="Times New Roman"/>
          <w:b w:val="0"/>
          <w:spacing w:val="-4"/>
          <w:sz w:val="28"/>
          <w:szCs w:val="28"/>
          <w:highlight w:val="none"/>
          <w:lang w:eastAsia="zh-CN"/>
        </w:rPr>
        <w:t>强化执法队伍建设、加大行政规范力度、深化行政审批改革，进一步减少审批环节，简化办事程序，切实为基层、企业和群众提供透明、便捷、高效的服务、提高党政机关执行力和公信力。</w:t>
      </w:r>
      <w:bookmarkStart w:id="5" w:name="_Toc70450294"/>
    </w:p>
    <w:p>
      <w:pPr>
        <w:keepNext w:val="0"/>
        <w:keepLines w:val="0"/>
        <w:pageBreakBefore w:val="0"/>
        <w:widowControl/>
        <w:kinsoku/>
        <w:wordWrap/>
        <w:overflowPunct/>
        <w:topLinePunct w:val="0"/>
        <w:autoSpaceDE/>
        <w:autoSpaceDN/>
        <w:bidi w:val="0"/>
        <w:adjustRightInd w:val="0"/>
        <w:snapToGrid w:val="0"/>
        <w:spacing w:after="0" w:line="560" w:lineRule="exact"/>
        <w:ind w:firstLine="544" w:firstLineChars="200"/>
        <w:jc w:val="both"/>
        <w:textAlignment w:val="auto"/>
        <w:rPr>
          <w:rStyle w:val="19"/>
          <w:rFonts w:hint="eastAsia" w:ascii="仿宋_GB2312" w:hAnsi="楷体" w:eastAsia="仿宋_GB2312" w:cs="Times New Roman"/>
          <w:b w:val="0"/>
          <w:color w:val="auto"/>
          <w:spacing w:val="-4"/>
          <w:kern w:val="2"/>
          <w:sz w:val="28"/>
          <w:szCs w:val="28"/>
          <w:lang w:val="en-US" w:eastAsia="zh-CN" w:bidi="ar-SA"/>
        </w:rPr>
      </w:pPr>
      <w:r>
        <w:rPr>
          <w:rStyle w:val="19"/>
          <w:rFonts w:hint="eastAsia" w:ascii="仿宋_GB2312" w:hAnsi="楷体" w:eastAsia="仿宋_GB2312" w:cs="Times New Roman"/>
          <w:b w:val="0"/>
          <w:spacing w:val="-4"/>
          <w:sz w:val="28"/>
          <w:szCs w:val="28"/>
          <w:highlight w:val="none"/>
          <w:lang w:val="en-US" w:eastAsia="zh-CN"/>
        </w:rPr>
        <w:t>3.</w:t>
      </w:r>
      <w:r>
        <w:rPr>
          <w:rStyle w:val="19"/>
          <w:rFonts w:hint="eastAsia" w:ascii="仿宋_GB2312" w:hAnsi="楷体" w:eastAsia="仿宋_GB2312" w:cs="Times New Roman"/>
          <w:b w:val="0"/>
          <w:color w:val="auto"/>
          <w:spacing w:val="-4"/>
          <w:kern w:val="2"/>
          <w:sz w:val="28"/>
          <w:szCs w:val="28"/>
          <w:highlight w:val="none"/>
          <w:lang w:val="en-US" w:eastAsia="zh-CN" w:bidi="ar-SA"/>
        </w:rPr>
        <w:t>农村公路建设项目。20</w:t>
      </w:r>
      <w:r>
        <w:rPr>
          <w:rStyle w:val="19"/>
          <w:rFonts w:hint="eastAsia" w:ascii="仿宋_GB2312" w:hAnsi="楷体" w:eastAsia="仿宋_GB2312" w:cs="Times New Roman"/>
          <w:b w:val="0"/>
          <w:color w:val="auto"/>
          <w:spacing w:val="-4"/>
          <w:kern w:val="2"/>
          <w:sz w:val="28"/>
          <w:szCs w:val="28"/>
          <w:lang w:val="en-US" w:eastAsia="zh-CN" w:bidi="ar-SA"/>
        </w:rPr>
        <w:t>21年度计划实施中天山旅游景区琼库什台生态旅、阿克塔斯村村组道路建设项目、场至达根别勒村村组道路建设项目、场至达根别勒村村组道路建设项目、喀甫萨朗村主干道建设项目等农村公路建设项目8个。全力解决一般农村公路基础设施薄弱问题，全力打造“外快内畅、互联互通”的伊犁旅游大环线交通枢纽。</w:t>
      </w:r>
    </w:p>
    <w:p>
      <w:pPr>
        <w:pageBreakBefore w:val="0"/>
        <w:kinsoku/>
        <w:wordWrap/>
        <w:overflowPunct/>
        <w:topLinePunct w:val="0"/>
        <w:autoSpaceDE/>
        <w:autoSpaceDN/>
        <w:bidi w:val="0"/>
        <w:adjustRightInd/>
        <w:spacing w:line="560" w:lineRule="exact"/>
        <w:ind w:firstLine="562" w:firstLineChars="200"/>
        <w:rPr>
          <w:rStyle w:val="19"/>
          <w:rFonts w:ascii="仿宋" w:hAnsi="仿宋" w:eastAsia="仿宋"/>
          <w:b/>
          <w:bCs/>
          <w:sz w:val="28"/>
          <w:szCs w:val="28"/>
        </w:rPr>
      </w:pPr>
      <w:r>
        <w:rPr>
          <w:rStyle w:val="19"/>
          <w:rFonts w:hint="eastAsia" w:ascii="仿宋" w:hAnsi="仿宋" w:eastAsia="仿宋"/>
          <w:b/>
          <w:bCs/>
          <w:sz w:val="28"/>
          <w:szCs w:val="28"/>
        </w:rPr>
        <w:t>（二）部门单位整体支出规模、</w:t>
      </w:r>
      <w:bookmarkStart w:id="6" w:name="_Hlk70339807"/>
      <w:r>
        <w:rPr>
          <w:rStyle w:val="19"/>
          <w:rFonts w:hint="eastAsia" w:ascii="仿宋" w:hAnsi="仿宋" w:eastAsia="仿宋"/>
          <w:b/>
          <w:bCs/>
          <w:sz w:val="28"/>
          <w:szCs w:val="28"/>
        </w:rPr>
        <w:t>使用方法和主要内容、涉及对象及范围等</w:t>
      </w:r>
      <w:bookmarkEnd w:id="5"/>
    </w:p>
    <w:bookmarkEnd w:id="6"/>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7" w:name="_Toc70450295"/>
      <w:r>
        <w:rPr>
          <w:rStyle w:val="19"/>
          <w:rFonts w:hint="eastAsia" w:ascii="仿宋" w:hAnsi="仿宋" w:eastAsia="仿宋"/>
          <w:b/>
          <w:bCs/>
        </w:rPr>
        <w:t>1、部门单位整体支出规模</w:t>
      </w:r>
      <w:bookmarkEnd w:id="7"/>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rPr>
      </w:pPr>
      <w:r>
        <w:rPr>
          <w:rStyle w:val="19"/>
          <w:rFonts w:hint="eastAsia" w:ascii="仿宋_GB2312" w:hAnsi="楷体" w:eastAsia="仿宋_GB2312"/>
          <w:b w:val="0"/>
          <w:spacing w:val="-4"/>
          <w:sz w:val="28"/>
          <w:szCs w:val="28"/>
        </w:rPr>
        <w:t>2021年批复我单位预算为</w:t>
      </w:r>
      <w:r>
        <w:rPr>
          <w:rStyle w:val="19"/>
          <w:rFonts w:hint="eastAsia" w:ascii="仿宋_GB2312" w:hAnsi="楷体" w:eastAsia="仿宋_GB2312"/>
          <w:b w:val="0"/>
          <w:spacing w:val="-4"/>
          <w:sz w:val="28"/>
          <w:szCs w:val="28"/>
          <w:lang w:val="en-US" w:eastAsia="zh-CN"/>
        </w:rPr>
        <w:t>28114.35</w:t>
      </w:r>
      <w:r>
        <w:rPr>
          <w:rStyle w:val="19"/>
          <w:rFonts w:hint="eastAsia" w:ascii="仿宋_GB2312" w:hAnsi="楷体" w:eastAsia="仿宋_GB2312"/>
          <w:b w:val="0"/>
          <w:spacing w:val="-4"/>
          <w:sz w:val="28"/>
          <w:szCs w:val="28"/>
        </w:rPr>
        <w:t>万元，其中：财政拨款为</w:t>
      </w:r>
      <w:r>
        <w:rPr>
          <w:rStyle w:val="19"/>
          <w:rFonts w:hint="eastAsia" w:ascii="仿宋_GB2312" w:hAnsi="楷体" w:eastAsia="仿宋_GB2312"/>
          <w:b w:val="0"/>
          <w:spacing w:val="-4"/>
          <w:sz w:val="28"/>
          <w:szCs w:val="28"/>
          <w:lang w:val="en-US" w:eastAsia="zh-CN"/>
        </w:rPr>
        <w:t>28114.35</w:t>
      </w:r>
      <w:r>
        <w:rPr>
          <w:rStyle w:val="19"/>
          <w:rFonts w:hint="eastAsia" w:ascii="仿宋_GB2312" w:hAnsi="楷体" w:eastAsia="仿宋_GB2312"/>
          <w:b w:val="0"/>
          <w:spacing w:val="-4"/>
          <w:sz w:val="28"/>
          <w:szCs w:val="28"/>
        </w:rPr>
        <w:t>万元，年中追加资金</w:t>
      </w:r>
      <w:r>
        <w:rPr>
          <w:rStyle w:val="19"/>
          <w:rFonts w:hint="eastAsia" w:ascii="仿宋_GB2312" w:hAnsi="楷体" w:eastAsia="仿宋_GB2312"/>
          <w:b w:val="0"/>
          <w:spacing w:val="-4"/>
          <w:sz w:val="28"/>
          <w:szCs w:val="28"/>
          <w:lang w:val="en-US" w:eastAsia="zh-CN"/>
        </w:rPr>
        <w:t>27951.67</w:t>
      </w:r>
      <w:r>
        <w:rPr>
          <w:rStyle w:val="19"/>
          <w:rFonts w:hint="eastAsia" w:ascii="仿宋_GB2312" w:hAnsi="楷体" w:eastAsia="仿宋_GB2312"/>
          <w:b w:val="0"/>
          <w:spacing w:val="-4"/>
          <w:sz w:val="28"/>
          <w:szCs w:val="28"/>
        </w:rPr>
        <w:t>万元调整率</w:t>
      </w:r>
      <w:r>
        <w:rPr>
          <w:rStyle w:val="19"/>
          <w:rFonts w:hint="eastAsia" w:ascii="仿宋_GB2312" w:hAnsi="楷体" w:eastAsia="仿宋_GB2312"/>
          <w:b w:val="0"/>
          <w:spacing w:val="-4"/>
          <w:sz w:val="28"/>
          <w:szCs w:val="28"/>
          <w:lang w:val="en-US" w:eastAsia="zh-CN"/>
        </w:rPr>
        <w:t>17182.00</w:t>
      </w:r>
      <w:r>
        <w:rPr>
          <w:rStyle w:val="19"/>
          <w:rFonts w:hint="eastAsia" w:ascii="仿宋_GB2312" w:hAnsi="楷体" w:eastAsia="仿宋_GB2312"/>
          <w:b w:val="0"/>
          <w:spacing w:val="-4"/>
          <w:sz w:val="28"/>
          <w:szCs w:val="28"/>
        </w:rPr>
        <w:t>%。对比上年</w:t>
      </w:r>
      <w:r>
        <w:rPr>
          <w:rStyle w:val="19"/>
          <w:rFonts w:hint="eastAsia" w:ascii="仿宋_GB2312" w:hAnsi="楷体" w:eastAsia="仿宋_GB2312"/>
          <w:b w:val="0"/>
          <w:spacing w:val="-4"/>
          <w:sz w:val="28"/>
          <w:szCs w:val="28"/>
          <w:lang w:val="en-US" w:eastAsia="zh-CN"/>
        </w:rPr>
        <w:t>18735.87</w:t>
      </w:r>
      <w:r>
        <w:rPr>
          <w:rStyle w:val="19"/>
          <w:rFonts w:hint="eastAsia" w:ascii="仿宋_GB2312" w:hAnsi="楷体" w:eastAsia="仿宋_GB2312"/>
          <w:b w:val="0"/>
          <w:spacing w:val="-4"/>
          <w:sz w:val="28"/>
          <w:szCs w:val="28"/>
        </w:rPr>
        <w:t>万元增加</w:t>
      </w:r>
      <w:r>
        <w:rPr>
          <w:rStyle w:val="19"/>
          <w:rFonts w:hint="eastAsia" w:ascii="仿宋_GB2312" w:hAnsi="楷体" w:eastAsia="仿宋_GB2312"/>
          <w:b w:val="0"/>
          <w:spacing w:val="-4"/>
          <w:sz w:val="28"/>
          <w:szCs w:val="28"/>
          <w:lang w:val="en-US" w:eastAsia="zh-CN"/>
        </w:rPr>
        <w:t>9378.48</w:t>
      </w:r>
      <w:r>
        <w:rPr>
          <w:rStyle w:val="19"/>
          <w:rFonts w:hint="eastAsia" w:ascii="仿宋_GB2312" w:hAnsi="楷体" w:eastAsia="仿宋_GB2312"/>
          <w:b w:val="0"/>
          <w:spacing w:val="-4"/>
          <w:sz w:val="28"/>
          <w:szCs w:val="28"/>
        </w:rPr>
        <w:t>万元，上升</w:t>
      </w:r>
      <w:r>
        <w:rPr>
          <w:rStyle w:val="19"/>
          <w:rFonts w:hint="eastAsia" w:ascii="仿宋_GB2312" w:hAnsi="楷体" w:eastAsia="仿宋_GB2312"/>
          <w:b w:val="0"/>
          <w:spacing w:val="-4"/>
          <w:sz w:val="28"/>
          <w:szCs w:val="28"/>
          <w:lang w:val="en-US" w:eastAsia="zh-CN"/>
        </w:rPr>
        <w:t>50.06</w:t>
      </w:r>
      <w:r>
        <w:rPr>
          <w:rStyle w:val="19"/>
          <w:rFonts w:hint="eastAsia" w:ascii="仿宋_GB2312" w:hAnsi="楷体" w:eastAsia="仿宋_GB2312"/>
          <w:b w:val="0"/>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9"/>
          <w:rFonts w:hint="default"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rPr>
        <w:t>2021年实际决算支出</w:t>
      </w:r>
      <w:r>
        <w:rPr>
          <w:rStyle w:val="19"/>
          <w:rFonts w:hint="eastAsia" w:ascii="仿宋_GB2312" w:hAnsi="楷体" w:eastAsia="仿宋_GB2312"/>
          <w:b w:val="0"/>
          <w:spacing w:val="-4"/>
          <w:sz w:val="28"/>
          <w:szCs w:val="28"/>
          <w:lang w:val="en-US" w:eastAsia="zh-CN"/>
        </w:rPr>
        <w:t>28114.35</w:t>
      </w:r>
      <w:r>
        <w:rPr>
          <w:rStyle w:val="19"/>
          <w:rFonts w:hint="eastAsia" w:ascii="仿宋_GB2312" w:hAnsi="楷体" w:eastAsia="仿宋_GB2312"/>
          <w:b w:val="0"/>
          <w:spacing w:val="-4"/>
          <w:sz w:val="28"/>
          <w:szCs w:val="28"/>
        </w:rPr>
        <w:t>万元，执行率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w:t>
      </w:r>
      <w:r>
        <w:rPr>
          <w:rStyle w:val="19"/>
          <w:rFonts w:hint="eastAsia" w:ascii="仿宋_GB2312" w:hAnsi="楷体" w:eastAsia="仿宋_GB2312"/>
          <w:b w:val="0"/>
          <w:spacing w:val="-4"/>
          <w:sz w:val="28"/>
          <w:szCs w:val="28"/>
          <w:lang w:val="en-US" w:eastAsia="zh-CN"/>
        </w:rPr>
        <w:t>具体如下：</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（1）基本支出</w:t>
      </w:r>
      <w:r>
        <w:rPr>
          <w:rStyle w:val="19"/>
          <w:rFonts w:hint="eastAsia" w:ascii="仿宋_GB2312" w:hAnsi="楷体" w:eastAsia="仿宋_GB2312"/>
          <w:b w:val="0"/>
          <w:spacing w:val="-4"/>
          <w:sz w:val="28"/>
          <w:szCs w:val="28"/>
          <w:lang w:val="en-US" w:eastAsia="zh-CN"/>
        </w:rPr>
        <w:t>1063.72</w:t>
      </w:r>
      <w:r>
        <w:rPr>
          <w:rStyle w:val="19"/>
          <w:rFonts w:hint="eastAsia" w:ascii="仿宋_GB2312" w:hAnsi="楷体" w:eastAsia="仿宋_GB2312"/>
          <w:b w:val="0"/>
          <w:spacing w:val="-4"/>
          <w:sz w:val="28"/>
          <w:szCs w:val="28"/>
        </w:rPr>
        <w:t>万元，占总支出的</w:t>
      </w:r>
      <w:r>
        <w:rPr>
          <w:rStyle w:val="19"/>
          <w:rFonts w:hint="eastAsia" w:ascii="仿宋_GB2312" w:hAnsi="楷体" w:eastAsia="仿宋_GB2312"/>
          <w:b w:val="0"/>
          <w:spacing w:val="-4"/>
          <w:sz w:val="28"/>
          <w:szCs w:val="28"/>
          <w:lang w:val="en-US" w:eastAsia="zh-CN"/>
        </w:rPr>
        <w:t>3.78</w:t>
      </w:r>
      <w:r>
        <w:rPr>
          <w:rStyle w:val="19"/>
          <w:rFonts w:hint="eastAsia" w:ascii="仿宋_GB2312" w:hAnsi="楷体" w:eastAsia="仿宋_GB2312"/>
          <w:b w:val="0"/>
          <w:spacing w:val="-4"/>
          <w:sz w:val="28"/>
          <w:szCs w:val="28"/>
        </w:rPr>
        <w:t>％，主要用于本单位机构正常运转、完成日常工作任务而发生的各项支出。其中：工资福利支出</w:t>
      </w:r>
      <w:r>
        <w:rPr>
          <w:rStyle w:val="19"/>
          <w:rFonts w:hint="eastAsia" w:ascii="仿宋_GB2312" w:hAnsi="楷体" w:eastAsia="仿宋_GB2312"/>
          <w:b w:val="0"/>
          <w:spacing w:val="-4"/>
          <w:sz w:val="28"/>
          <w:szCs w:val="28"/>
          <w:lang w:val="en-US" w:eastAsia="zh-CN"/>
        </w:rPr>
        <w:t>285.98</w:t>
      </w:r>
      <w:r>
        <w:rPr>
          <w:rStyle w:val="19"/>
          <w:rFonts w:hint="eastAsia" w:ascii="仿宋_GB2312" w:hAnsi="楷体" w:eastAsia="仿宋_GB2312"/>
          <w:b w:val="0"/>
          <w:spacing w:val="-4"/>
          <w:sz w:val="28"/>
          <w:szCs w:val="28"/>
        </w:rPr>
        <w:t>万元，主要用于在职和离退休人员基本工资、津贴补贴</w:t>
      </w:r>
      <w:r>
        <w:rPr>
          <w:rStyle w:val="19"/>
          <w:rFonts w:hint="eastAsia" w:ascii="仿宋_GB2312" w:hAnsi="楷体" w:eastAsia="仿宋_GB2312"/>
          <w:b w:val="0"/>
          <w:spacing w:val="-4"/>
          <w:sz w:val="28"/>
          <w:szCs w:val="28"/>
          <w:lang w:eastAsia="zh-CN"/>
        </w:rPr>
        <w:t>、社保住房公积金</w:t>
      </w:r>
      <w:r>
        <w:rPr>
          <w:rStyle w:val="19"/>
          <w:rFonts w:hint="eastAsia" w:ascii="仿宋_GB2312" w:hAnsi="楷体" w:eastAsia="仿宋_GB2312"/>
          <w:b w:val="0"/>
          <w:spacing w:val="-4"/>
          <w:sz w:val="28"/>
          <w:szCs w:val="28"/>
        </w:rPr>
        <w:t>等人员经费。商品和服务支出</w:t>
      </w:r>
      <w:r>
        <w:rPr>
          <w:rStyle w:val="19"/>
          <w:rFonts w:hint="eastAsia" w:ascii="仿宋_GB2312" w:hAnsi="楷体" w:eastAsia="仿宋_GB2312"/>
          <w:b w:val="0"/>
          <w:spacing w:val="-4"/>
          <w:sz w:val="28"/>
          <w:szCs w:val="28"/>
          <w:lang w:val="en-US" w:eastAsia="zh-CN"/>
        </w:rPr>
        <w:t>42.08</w:t>
      </w:r>
      <w:r>
        <w:rPr>
          <w:rStyle w:val="19"/>
          <w:rFonts w:hint="eastAsia" w:ascii="仿宋_GB2312" w:hAnsi="楷体" w:eastAsia="仿宋_GB2312"/>
          <w:b w:val="0"/>
          <w:spacing w:val="-4"/>
          <w:sz w:val="28"/>
          <w:szCs w:val="28"/>
        </w:rPr>
        <w:t>万元，主要用于办公费、印刷费、水电费、办公设备购置等。对个人和家庭的补助</w:t>
      </w:r>
      <w:r>
        <w:rPr>
          <w:rStyle w:val="19"/>
          <w:rFonts w:hint="eastAsia" w:ascii="仿宋_GB2312" w:hAnsi="楷体" w:eastAsia="仿宋_GB2312"/>
          <w:b w:val="0"/>
          <w:spacing w:val="-4"/>
          <w:sz w:val="28"/>
          <w:szCs w:val="28"/>
          <w:lang w:val="en-US" w:eastAsia="zh-CN"/>
        </w:rPr>
        <w:t>735.66</w:t>
      </w:r>
      <w:r>
        <w:rPr>
          <w:rStyle w:val="19"/>
          <w:rFonts w:hint="eastAsia" w:ascii="仿宋_GB2312" w:hAnsi="楷体" w:eastAsia="仿宋_GB2312"/>
          <w:b w:val="0"/>
          <w:spacing w:val="-4"/>
          <w:sz w:val="28"/>
          <w:szCs w:val="28"/>
        </w:rPr>
        <w:t>万元，主要用于</w:t>
      </w:r>
      <w:r>
        <w:rPr>
          <w:rStyle w:val="19"/>
          <w:rFonts w:hint="eastAsia" w:ascii="仿宋_GB2312" w:hAnsi="楷体" w:eastAsia="仿宋_GB2312"/>
          <w:b w:val="0"/>
          <w:spacing w:val="-4"/>
          <w:sz w:val="28"/>
          <w:szCs w:val="28"/>
          <w:lang w:eastAsia="zh-CN"/>
        </w:rPr>
        <w:t>油价补贴</w:t>
      </w:r>
      <w:r>
        <w:rPr>
          <w:rStyle w:val="19"/>
          <w:rFonts w:hint="eastAsia" w:ascii="仿宋_GB2312" w:hAnsi="楷体" w:eastAsia="仿宋_GB2312"/>
          <w:b w:val="0"/>
          <w:spacing w:val="-4"/>
          <w:sz w:val="28"/>
          <w:szCs w:val="28"/>
          <w:lang w:val="en-US" w:eastAsia="zh-CN"/>
        </w:rPr>
        <w:t>、南疆人员生活补助、退休人员补助</w:t>
      </w:r>
      <w:r>
        <w:rPr>
          <w:rStyle w:val="19"/>
          <w:rFonts w:hint="eastAsia" w:ascii="仿宋_GB2312" w:hAnsi="楷体" w:eastAsia="仿宋_GB2312"/>
          <w:b w:val="0"/>
          <w:spacing w:val="-4"/>
          <w:sz w:val="28"/>
          <w:szCs w:val="28"/>
        </w:rPr>
        <w:t>。</w:t>
      </w:r>
      <w:r>
        <w:rPr>
          <w:rStyle w:val="19"/>
          <w:rFonts w:ascii="仿宋_GB2312" w:hAnsi="楷体" w:eastAsia="仿宋_GB2312"/>
          <w:b w:val="0"/>
          <w:spacing w:val="-4"/>
          <w:sz w:val="28"/>
          <w:szCs w:val="28"/>
        </w:rPr>
        <w:t xml:space="preserve"> </w:t>
      </w:r>
    </w:p>
    <w:p>
      <w:pPr>
        <w:pageBreakBefore w:val="0"/>
        <w:kinsoku/>
        <w:wordWrap/>
        <w:overflowPunct/>
        <w:topLinePunct w:val="0"/>
        <w:autoSpaceDE/>
        <w:autoSpaceDN/>
        <w:bidi w:val="0"/>
        <w:adjustRightInd/>
        <w:spacing w:line="560" w:lineRule="exact"/>
        <w:ind w:firstLine="544" w:firstLineChars="200"/>
        <w:rPr>
          <w:rStyle w:val="19"/>
          <w:rFonts w:hint="default" w:ascii="仿宋_GB2312" w:hAnsi="楷体" w:eastAsia="仿宋_GB2312"/>
          <w:b w:val="0"/>
          <w:spacing w:val="-4"/>
          <w:sz w:val="28"/>
          <w:szCs w:val="28"/>
          <w:lang w:val="en-US" w:eastAsia="zh-CN"/>
        </w:rPr>
      </w:pPr>
      <w:r>
        <w:rPr>
          <w:rStyle w:val="19"/>
          <w:rFonts w:hint="eastAsia" w:ascii="仿宋_GB2312" w:hAnsi="楷体" w:eastAsia="仿宋_GB2312"/>
          <w:b w:val="0"/>
          <w:color w:val="auto"/>
          <w:spacing w:val="-4"/>
          <w:sz w:val="28"/>
          <w:szCs w:val="28"/>
          <w:highlight w:val="none"/>
          <w:shd w:val="clear" w:color="auto" w:fill="auto"/>
        </w:rPr>
        <w:t>（</w:t>
      </w:r>
      <w:r>
        <w:rPr>
          <w:rStyle w:val="19"/>
          <w:rFonts w:ascii="仿宋_GB2312" w:hAnsi="楷体" w:eastAsia="仿宋_GB2312"/>
          <w:b w:val="0"/>
          <w:color w:val="auto"/>
          <w:spacing w:val="-4"/>
          <w:sz w:val="28"/>
          <w:szCs w:val="28"/>
          <w:highlight w:val="none"/>
          <w:shd w:val="clear" w:color="auto" w:fill="auto"/>
        </w:rPr>
        <w:t>2</w:t>
      </w:r>
      <w:r>
        <w:rPr>
          <w:rStyle w:val="19"/>
          <w:rFonts w:hint="eastAsia" w:ascii="仿宋_GB2312" w:hAnsi="楷体" w:eastAsia="仿宋_GB2312"/>
          <w:b w:val="0"/>
          <w:color w:val="auto"/>
          <w:spacing w:val="-4"/>
          <w:sz w:val="28"/>
          <w:szCs w:val="28"/>
          <w:highlight w:val="none"/>
          <w:shd w:val="clear" w:color="auto" w:fill="auto"/>
        </w:rPr>
        <w:t>）项目支出</w:t>
      </w:r>
      <w:r>
        <w:rPr>
          <w:rStyle w:val="19"/>
          <w:rFonts w:hint="eastAsia" w:ascii="仿宋_GB2312" w:hAnsi="楷体" w:eastAsia="仿宋_GB2312"/>
          <w:b w:val="0"/>
          <w:color w:val="auto"/>
          <w:spacing w:val="-4"/>
          <w:sz w:val="28"/>
          <w:szCs w:val="28"/>
          <w:highlight w:val="none"/>
          <w:shd w:val="clear" w:color="auto" w:fill="auto"/>
          <w:lang w:val="en-US" w:eastAsia="zh-CN"/>
        </w:rPr>
        <w:t>27050.63</w:t>
      </w:r>
      <w:r>
        <w:rPr>
          <w:rStyle w:val="19"/>
          <w:rFonts w:hint="eastAsia" w:ascii="仿宋_GB2312" w:hAnsi="楷体" w:eastAsia="仿宋_GB2312"/>
          <w:b w:val="0"/>
          <w:color w:val="auto"/>
          <w:spacing w:val="-4"/>
          <w:sz w:val="28"/>
          <w:szCs w:val="28"/>
          <w:highlight w:val="none"/>
          <w:shd w:val="clear" w:color="auto" w:fill="auto"/>
        </w:rPr>
        <w:t>万元，</w:t>
      </w:r>
      <w:r>
        <w:rPr>
          <w:rStyle w:val="19"/>
          <w:rFonts w:hint="eastAsia" w:ascii="仿宋_GB2312" w:hAnsi="楷体" w:eastAsia="仿宋_GB2312"/>
          <w:b w:val="0"/>
          <w:color w:val="auto"/>
          <w:spacing w:val="-4"/>
          <w:sz w:val="28"/>
          <w:szCs w:val="28"/>
          <w:highlight w:val="none"/>
          <w:shd w:val="clear" w:color="auto" w:fill="auto"/>
        </w:rPr>
        <w:t>占总支出的</w:t>
      </w:r>
      <w:r>
        <w:rPr>
          <w:rStyle w:val="19"/>
          <w:rFonts w:hint="eastAsia" w:ascii="仿宋_GB2312" w:hAnsi="楷体" w:eastAsia="仿宋_GB2312"/>
          <w:b w:val="0"/>
          <w:color w:val="auto"/>
          <w:spacing w:val="-4"/>
          <w:sz w:val="28"/>
          <w:szCs w:val="28"/>
          <w:highlight w:val="none"/>
          <w:shd w:val="clear" w:color="auto" w:fill="auto"/>
          <w:lang w:val="en-US" w:eastAsia="zh-CN"/>
        </w:rPr>
        <w:t>96.22</w:t>
      </w:r>
      <w:r>
        <w:rPr>
          <w:rStyle w:val="19"/>
          <w:rFonts w:hint="eastAsia" w:ascii="仿宋_GB2312" w:hAnsi="楷体" w:eastAsia="仿宋_GB2312"/>
          <w:b w:val="0"/>
          <w:color w:val="auto"/>
          <w:spacing w:val="-4"/>
          <w:sz w:val="28"/>
          <w:szCs w:val="28"/>
          <w:highlight w:val="none"/>
          <w:shd w:val="clear" w:color="auto" w:fill="auto"/>
        </w:rPr>
        <w:t>％。其中：</w:t>
      </w:r>
      <w:r>
        <w:rPr>
          <w:rStyle w:val="19"/>
          <w:rFonts w:hint="eastAsia" w:ascii="仿宋_GB2312" w:hAnsi="楷体" w:eastAsia="仿宋_GB2312"/>
          <w:b w:val="0"/>
          <w:color w:val="auto"/>
          <w:spacing w:val="-4"/>
          <w:sz w:val="28"/>
          <w:szCs w:val="28"/>
          <w:highlight w:val="none"/>
          <w:shd w:val="clear" w:color="auto" w:fill="auto"/>
          <w:lang w:eastAsia="zh-CN"/>
        </w:rPr>
        <w:t>伊犁州特克斯县</w:t>
      </w:r>
      <w:r>
        <w:rPr>
          <w:rStyle w:val="19"/>
          <w:rFonts w:hint="eastAsia" w:ascii="仿宋_GB2312" w:hAnsi="楷体" w:eastAsia="仿宋_GB2312"/>
          <w:b w:val="0"/>
          <w:color w:val="auto"/>
          <w:spacing w:val="-4"/>
          <w:sz w:val="28"/>
          <w:szCs w:val="28"/>
          <w:highlight w:val="none"/>
          <w:shd w:val="clear" w:color="auto" w:fill="auto"/>
          <w:lang w:val="en-US" w:eastAsia="zh-CN"/>
        </w:rPr>
        <w:t>2021年村组道路建设</w:t>
      </w:r>
      <w:r>
        <w:rPr>
          <w:rStyle w:val="19"/>
          <w:rFonts w:hint="eastAsia" w:ascii="仿宋_GB2312" w:hAnsi="楷体" w:eastAsia="仿宋_GB2312"/>
          <w:b w:val="0"/>
          <w:color w:val="auto"/>
          <w:spacing w:val="-4"/>
          <w:sz w:val="28"/>
          <w:szCs w:val="28"/>
          <w:highlight w:val="none"/>
          <w:shd w:val="clear" w:color="auto" w:fill="auto"/>
        </w:rPr>
        <w:t>项目安排</w:t>
      </w:r>
      <w:r>
        <w:rPr>
          <w:rStyle w:val="19"/>
          <w:rFonts w:hint="eastAsia" w:ascii="仿宋_GB2312" w:hAnsi="楷体" w:eastAsia="仿宋_GB2312"/>
          <w:b w:val="0"/>
          <w:color w:val="auto"/>
          <w:spacing w:val="-4"/>
          <w:sz w:val="28"/>
          <w:szCs w:val="28"/>
          <w:highlight w:val="none"/>
          <w:shd w:val="clear" w:color="auto" w:fill="auto"/>
          <w:lang w:val="en-US" w:eastAsia="zh-CN"/>
        </w:rPr>
        <w:t>8700</w:t>
      </w:r>
      <w:r>
        <w:rPr>
          <w:rStyle w:val="19"/>
          <w:rFonts w:hint="eastAsia" w:ascii="仿宋_GB2312" w:hAnsi="楷体" w:eastAsia="仿宋_GB2312"/>
          <w:b w:val="0"/>
          <w:color w:val="auto"/>
          <w:spacing w:val="-4"/>
          <w:sz w:val="28"/>
          <w:szCs w:val="28"/>
          <w:highlight w:val="none"/>
          <w:shd w:val="clear" w:color="auto" w:fill="auto"/>
        </w:rPr>
        <w:t>万元，主要用于完成</w:t>
      </w:r>
      <w:r>
        <w:rPr>
          <w:rStyle w:val="19"/>
          <w:rFonts w:hint="eastAsia" w:ascii="仿宋_GB2312" w:hAnsi="楷体" w:eastAsia="仿宋_GB2312"/>
          <w:b w:val="0"/>
          <w:color w:val="auto"/>
          <w:spacing w:val="-4"/>
          <w:sz w:val="28"/>
          <w:szCs w:val="28"/>
          <w:highlight w:val="none"/>
          <w:shd w:val="clear" w:color="auto" w:fill="auto"/>
          <w:lang w:val="en-US" w:eastAsia="zh-CN"/>
        </w:rPr>
        <w:t>新建和续建项目路面、路基、桥涵及附属设施建设；2020年财政专项扶贫资金项目质保金项目</w:t>
      </w:r>
      <w:r>
        <w:rPr>
          <w:rStyle w:val="19"/>
          <w:rFonts w:hint="eastAsia" w:ascii="仿宋_GB2312" w:hAnsi="楷体" w:eastAsia="仿宋_GB2312"/>
          <w:b w:val="0"/>
          <w:color w:val="auto"/>
          <w:spacing w:val="-4"/>
          <w:sz w:val="28"/>
          <w:szCs w:val="28"/>
          <w:highlight w:val="none"/>
          <w:shd w:val="clear" w:color="auto" w:fill="auto"/>
        </w:rPr>
        <w:t>安排</w:t>
      </w:r>
      <w:r>
        <w:rPr>
          <w:rStyle w:val="19"/>
          <w:rFonts w:hint="eastAsia" w:ascii="仿宋_GB2312" w:hAnsi="楷体" w:eastAsia="仿宋_GB2312"/>
          <w:b w:val="0"/>
          <w:color w:val="auto"/>
          <w:spacing w:val="-4"/>
          <w:sz w:val="28"/>
          <w:szCs w:val="28"/>
          <w:highlight w:val="none"/>
          <w:shd w:val="clear" w:color="auto" w:fill="auto"/>
          <w:lang w:val="en-US" w:eastAsia="zh-CN"/>
        </w:rPr>
        <w:t>75</w:t>
      </w:r>
      <w:r>
        <w:rPr>
          <w:rStyle w:val="19"/>
          <w:rFonts w:hint="eastAsia" w:ascii="仿宋_GB2312" w:hAnsi="楷体" w:eastAsia="仿宋_GB2312"/>
          <w:b w:val="0"/>
          <w:color w:val="auto"/>
          <w:spacing w:val="-4"/>
          <w:sz w:val="28"/>
          <w:szCs w:val="28"/>
          <w:highlight w:val="none"/>
          <w:shd w:val="clear" w:color="auto" w:fill="auto"/>
        </w:rPr>
        <w:t>万元，主要用于完成</w:t>
      </w:r>
      <w:r>
        <w:rPr>
          <w:rStyle w:val="19"/>
          <w:rFonts w:hint="eastAsia" w:ascii="仿宋_GB2312" w:hAnsi="楷体" w:eastAsia="仿宋_GB2312"/>
          <w:b w:val="0"/>
          <w:color w:val="auto"/>
          <w:spacing w:val="-4"/>
          <w:sz w:val="28"/>
          <w:szCs w:val="28"/>
          <w:highlight w:val="none"/>
          <w:shd w:val="clear" w:color="auto" w:fill="auto"/>
          <w:lang w:val="en-US" w:eastAsia="zh-CN"/>
        </w:rPr>
        <w:t>该</w:t>
      </w:r>
      <w:r>
        <w:rPr>
          <w:rStyle w:val="19"/>
          <w:rFonts w:hint="eastAsia" w:ascii="仿宋_GB2312" w:hAnsi="楷体" w:eastAsia="仿宋_GB2312"/>
          <w:b w:val="0"/>
          <w:color w:val="auto"/>
          <w:spacing w:val="-4"/>
          <w:sz w:val="28"/>
          <w:szCs w:val="28"/>
          <w:highlight w:val="none"/>
          <w:shd w:val="clear" w:color="auto" w:fill="auto"/>
          <w:lang w:eastAsia="zh-CN"/>
        </w:rPr>
        <w:t>项目建设</w:t>
      </w:r>
      <w:r>
        <w:rPr>
          <w:rStyle w:val="19"/>
          <w:rFonts w:hint="eastAsia" w:ascii="仿宋_GB2312" w:hAnsi="楷体" w:eastAsia="仿宋_GB2312"/>
          <w:b w:val="0"/>
          <w:color w:val="auto"/>
          <w:spacing w:val="-4"/>
          <w:sz w:val="28"/>
          <w:szCs w:val="28"/>
          <w:highlight w:val="none"/>
          <w:shd w:val="clear" w:color="auto" w:fill="auto"/>
          <w:lang w:val="en-US" w:eastAsia="zh-CN"/>
        </w:rPr>
        <w:t>质量保证结算</w:t>
      </w:r>
      <w:r>
        <w:rPr>
          <w:rStyle w:val="19"/>
          <w:rFonts w:hint="eastAsia" w:ascii="仿宋_GB2312" w:hAnsi="楷体" w:eastAsia="仿宋_GB2312"/>
          <w:b w:val="0"/>
          <w:color w:val="auto"/>
          <w:spacing w:val="-4"/>
          <w:sz w:val="28"/>
          <w:szCs w:val="28"/>
          <w:highlight w:val="none"/>
          <w:shd w:val="clear" w:color="auto" w:fill="auto"/>
          <w:lang w:eastAsia="zh-CN"/>
        </w:rPr>
        <w:t>；喀拉托海镇达根别勒村村组道路建设项目</w:t>
      </w:r>
      <w:r>
        <w:rPr>
          <w:rStyle w:val="19"/>
          <w:rFonts w:hint="eastAsia" w:ascii="仿宋_GB2312" w:hAnsi="楷体" w:eastAsia="仿宋_GB2312"/>
          <w:b w:val="0"/>
          <w:color w:val="auto"/>
          <w:spacing w:val="-4"/>
          <w:sz w:val="28"/>
          <w:szCs w:val="28"/>
          <w:highlight w:val="none"/>
          <w:shd w:val="clear" w:color="auto" w:fill="auto"/>
          <w:lang w:val="en-US" w:eastAsia="zh-CN"/>
        </w:rPr>
        <w:t>1000万元，主要用于完成该项目路面、路基、桥涵及附属设施建设；伊犁州特克斯县喀甫萨朗主干道建设项目安排196.17万元，主要用于完成该项目路面、路基、桥涵及附属设施建设；喀拉托海镇达根别勒村村组道路建设项目安排526.29万元，主要用于完成该项目路面、路基、桥涵及附属设施建设；</w:t>
      </w:r>
      <w:r>
        <w:rPr>
          <w:rStyle w:val="19"/>
          <w:rFonts w:hint="eastAsia" w:ascii="仿宋_GB2312" w:hAnsi="楷体" w:eastAsia="仿宋_GB2312"/>
          <w:b w:val="0"/>
          <w:spacing w:val="-4"/>
          <w:sz w:val="28"/>
          <w:szCs w:val="28"/>
          <w:highlight w:val="none"/>
          <w:lang w:val="en-US" w:eastAsia="zh-CN"/>
        </w:rPr>
        <w:t>特克斯县八卦城喀拉峻旅游基础设施建设及旅游服务设施建设项目安排183.89万元，主要用于完成项目</w:t>
      </w:r>
      <w:r>
        <w:rPr>
          <w:rStyle w:val="19"/>
          <w:rFonts w:hint="eastAsia" w:ascii="仿宋_GB2312" w:hAnsi="楷体" w:eastAsia="仿宋_GB2312"/>
          <w:b w:val="0"/>
          <w:color w:val="auto"/>
          <w:spacing w:val="-4"/>
          <w:sz w:val="28"/>
          <w:szCs w:val="28"/>
          <w:highlight w:val="none"/>
          <w:shd w:val="clear" w:color="auto" w:fill="auto"/>
          <w:lang w:val="en-US" w:eastAsia="zh-CN"/>
        </w:rPr>
        <w:t>该项目路面、路基、桥涵及附属设施建设</w:t>
      </w:r>
      <w:r>
        <w:rPr>
          <w:rStyle w:val="19"/>
          <w:rFonts w:hint="eastAsia" w:ascii="仿宋_GB2312" w:hAnsi="楷体" w:eastAsia="仿宋_GB2312"/>
          <w:b w:val="0"/>
          <w:spacing w:val="-4"/>
          <w:sz w:val="28"/>
          <w:szCs w:val="28"/>
          <w:highlight w:val="none"/>
          <w:lang w:val="en-US" w:eastAsia="zh-CN"/>
        </w:rPr>
        <w:t>；车辆购置税用于2020公路等基础设施建设支出项目安排1369.28，主要用于完成车购税建设</w:t>
      </w:r>
      <w:r>
        <w:rPr>
          <w:rStyle w:val="19"/>
          <w:rFonts w:hint="eastAsia" w:ascii="仿宋_GB2312" w:hAnsi="楷体" w:eastAsia="仿宋_GB2312"/>
          <w:b w:val="0"/>
          <w:spacing w:val="-4"/>
          <w:sz w:val="28"/>
          <w:szCs w:val="28"/>
          <w:lang w:val="en-US" w:eastAsia="zh-CN"/>
        </w:rPr>
        <w:t>项目</w:t>
      </w:r>
      <w:r>
        <w:rPr>
          <w:rStyle w:val="19"/>
          <w:rFonts w:hint="eastAsia" w:ascii="仿宋_GB2312" w:hAnsi="楷体" w:eastAsia="仿宋_GB2312"/>
          <w:b w:val="0"/>
          <w:color w:val="auto"/>
          <w:spacing w:val="-4"/>
          <w:sz w:val="28"/>
          <w:szCs w:val="28"/>
          <w:highlight w:val="none"/>
          <w:lang w:val="en-US" w:eastAsia="zh-CN"/>
        </w:rPr>
        <w:t>基础设施建设；</w:t>
      </w:r>
      <w:r>
        <w:rPr>
          <w:rStyle w:val="19"/>
          <w:rFonts w:hint="eastAsia" w:ascii="仿宋_GB2312" w:hAnsi="楷体" w:eastAsia="仿宋_GB2312"/>
          <w:b w:val="0"/>
          <w:spacing w:val="-4"/>
          <w:sz w:val="28"/>
          <w:szCs w:val="28"/>
          <w:highlight w:val="none"/>
          <w:lang w:val="en-US" w:eastAsia="zh-CN"/>
        </w:rPr>
        <w:t>伊犁州特克斯县中天山旅游景区琼库什台生态旅游基础设施建设项目安排15000万元，主要用于完成项目</w:t>
      </w:r>
      <w:r>
        <w:rPr>
          <w:rStyle w:val="19"/>
          <w:rFonts w:hint="eastAsia" w:ascii="仿宋_GB2312" w:hAnsi="楷体" w:eastAsia="仿宋_GB2312"/>
          <w:b w:val="0"/>
          <w:color w:val="auto"/>
          <w:spacing w:val="-4"/>
          <w:sz w:val="28"/>
          <w:szCs w:val="28"/>
          <w:highlight w:val="none"/>
          <w:shd w:val="clear" w:color="auto" w:fill="auto"/>
          <w:lang w:val="en-US" w:eastAsia="zh-CN"/>
        </w:rPr>
        <w:t>该项目路面、路基、桥涵及附属设施建设</w:t>
      </w:r>
      <w:r>
        <w:rPr>
          <w:rStyle w:val="19"/>
          <w:rFonts w:hint="eastAsia" w:ascii="仿宋_GB2312" w:hAnsi="楷体" w:eastAsia="仿宋_GB2312"/>
          <w:b w:val="0"/>
          <w:spacing w:val="-4"/>
          <w:sz w:val="28"/>
          <w:szCs w:val="28"/>
          <w:highlight w:val="none"/>
          <w:lang w:val="en-US" w:eastAsia="zh-CN"/>
        </w:rPr>
        <w:t>。</w:t>
      </w:r>
    </w:p>
    <w:p>
      <w:pPr>
        <w:pageBreakBefore w:val="0"/>
        <w:kinsoku/>
        <w:wordWrap/>
        <w:overflowPunct/>
        <w:topLinePunct w:val="0"/>
        <w:autoSpaceDE/>
        <w:autoSpaceDN/>
        <w:bidi w:val="0"/>
        <w:adjustRightInd/>
        <w:spacing w:line="560" w:lineRule="exact"/>
        <w:ind w:firstLine="544" w:firstLineChars="200"/>
        <w:rPr>
          <w:rStyle w:val="19"/>
          <w:rFonts w:asciiTheme="minorEastAsia" w:hAnsiTheme="minorEastAsia"/>
          <w:bCs w:val="0"/>
          <w:color w:val="FF0000"/>
          <w:spacing w:val="-4"/>
          <w:sz w:val="28"/>
          <w:szCs w:val="28"/>
        </w:rPr>
      </w:pPr>
      <w:r>
        <w:rPr>
          <w:rStyle w:val="19"/>
          <w:rFonts w:hint="eastAsia" w:ascii="仿宋_GB2312" w:hAnsi="楷体" w:eastAsia="仿宋_GB2312"/>
          <w:b w:val="0"/>
          <w:spacing w:val="-4"/>
          <w:sz w:val="28"/>
          <w:szCs w:val="28"/>
          <w:highlight w:val="none"/>
        </w:rPr>
        <w:t>（</w:t>
      </w:r>
      <w:r>
        <w:rPr>
          <w:rStyle w:val="19"/>
          <w:rFonts w:ascii="仿宋_GB2312" w:hAnsi="楷体" w:eastAsia="仿宋_GB2312"/>
          <w:b w:val="0"/>
          <w:spacing w:val="-4"/>
          <w:sz w:val="28"/>
          <w:szCs w:val="28"/>
          <w:highlight w:val="none"/>
        </w:rPr>
        <w:t>3</w:t>
      </w:r>
      <w:r>
        <w:rPr>
          <w:rStyle w:val="19"/>
          <w:rFonts w:hint="eastAsia" w:ascii="仿宋_GB2312" w:hAnsi="楷体" w:eastAsia="仿宋_GB2312"/>
          <w:b w:val="0"/>
          <w:spacing w:val="-4"/>
          <w:sz w:val="28"/>
          <w:szCs w:val="28"/>
          <w:highlight w:val="none"/>
        </w:rPr>
        <w:t>）本年度重点项目支出</w:t>
      </w:r>
      <w:r>
        <w:rPr>
          <w:rStyle w:val="19"/>
          <w:rFonts w:hint="eastAsia" w:ascii="仿宋_GB2312" w:hAnsi="楷体" w:eastAsia="仿宋_GB2312"/>
          <w:b w:val="0"/>
          <w:spacing w:val="-4"/>
          <w:sz w:val="28"/>
          <w:szCs w:val="28"/>
          <w:highlight w:val="none"/>
          <w:lang w:val="en-US" w:eastAsia="zh-CN"/>
        </w:rPr>
        <w:t>15000</w:t>
      </w:r>
      <w:r>
        <w:rPr>
          <w:rStyle w:val="19"/>
          <w:rFonts w:hint="eastAsia" w:ascii="仿宋_GB2312" w:hAnsi="楷体" w:eastAsia="仿宋_GB2312"/>
          <w:b w:val="0"/>
          <w:spacing w:val="-4"/>
          <w:sz w:val="28"/>
          <w:szCs w:val="28"/>
          <w:highlight w:val="none"/>
        </w:rPr>
        <w:t>万元，重点支出保障率</w:t>
      </w:r>
      <w:r>
        <w:rPr>
          <w:rStyle w:val="19"/>
          <w:rFonts w:hint="eastAsia" w:ascii="仿宋_GB2312" w:hAnsi="楷体" w:eastAsia="仿宋_GB2312"/>
          <w:b w:val="0"/>
          <w:spacing w:val="-4"/>
          <w:sz w:val="28"/>
          <w:szCs w:val="28"/>
          <w:highlight w:val="none"/>
          <w:lang w:val="en-US" w:eastAsia="zh-CN"/>
        </w:rPr>
        <w:t>55.45</w:t>
      </w:r>
      <w:r>
        <w:rPr>
          <w:rStyle w:val="19"/>
          <w:rFonts w:hint="eastAsia" w:ascii="仿宋_GB2312" w:hAnsi="楷体" w:eastAsia="仿宋_GB2312"/>
          <w:b w:val="0"/>
          <w:spacing w:val="-4"/>
          <w:sz w:val="28"/>
          <w:szCs w:val="28"/>
          <w:highlight w:val="none"/>
        </w:rPr>
        <w:t>%。其中重点保障项目是</w:t>
      </w:r>
      <w:r>
        <w:rPr>
          <w:rStyle w:val="19"/>
          <w:rFonts w:hint="eastAsia" w:ascii="仿宋_GB2312" w:hAnsi="楷体" w:eastAsia="仿宋_GB2312"/>
          <w:b w:val="0"/>
          <w:spacing w:val="-4"/>
          <w:sz w:val="28"/>
          <w:szCs w:val="28"/>
          <w:highlight w:val="none"/>
          <w:lang w:val="en-US" w:eastAsia="zh-CN"/>
        </w:rPr>
        <w:t>伊犁州特克斯县中天山旅游景区琼库什台生态旅游基础设施建设项目</w:t>
      </w:r>
      <w:r>
        <w:rPr>
          <w:rStyle w:val="19"/>
          <w:rFonts w:hint="eastAsia" w:ascii="仿宋_GB2312" w:hAnsi="楷体" w:eastAsia="仿宋_GB2312"/>
          <w:b w:val="0"/>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cs="Times New Roman"/>
          <w:b w:val="0"/>
          <w:spacing w:val="-4"/>
          <w:sz w:val="28"/>
          <w:szCs w:val="28"/>
          <w:highlight w:val="none"/>
          <w:lang w:val="en-US" w:eastAsia="zh-CN"/>
        </w:rPr>
      </w:pPr>
      <w:r>
        <w:rPr>
          <w:rStyle w:val="19"/>
          <w:rFonts w:hint="eastAsia" w:ascii="仿宋_GB2312" w:hAnsi="楷体" w:eastAsia="仿宋_GB2312"/>
          <w:b w:val="0"/>
          <w:spacing w:val="-4"/>
          <w:sz w:val="28"/>
          <w:szCs w:val="28"/>
        </w:rPr>
        <w:t>（4）</w:t>
      </w:r>
      <w:r>
        <w:rPr>
          <w:rStyle w:val="19"/>
          <w:rFonts w:hint="eastAsia" w:ascii="仿宋_GB2312" w:hAnsi="楷体" w:eastAsia="仿宋_GB2312" w:cs="Times New Roman"/>
          <w:b w:val="0"/>
          <w:spacing w:val="-4"/>
          <w:sz w:val="28"/>
          <w:szCs w:val="28"/>
          <w:highlight w:val="none"/>
          <w:lang w:val="en-US" w:eastAsia="zh-CN"/>
        </w:rPr>
        <w:t>本年度我单位无政府采购预算。</w:t>
      </w:r>
    </w:p>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8" w:name="_Toc70450296"/>
      <w:r>
        <w:rPr>
          <w:rStyle w:val="19"/>
          <w:rFonts w:ascii="仿宋" w:hAnsi="仿宋" w:eastAsia="仿宋"/>
          <w:b/>
          <w:bCs/>
        </w:rPr>
        <w:t>2</w:t>
      </w:r>
      <w:r>
        <w:rPr>
          <w:rStyle w:val="19"/>
          <w:rFonts w:hint="eastAsia" w:ascii="仿宋" w:hAnsi="仿宋" w:eastAsia="仿宋"/>
          <w:b/>
          <w:bCs/>
        </w:rPr>
        <w:t>、整体支出评价使用方法和主要内容、涉及对象及范围等</w:t>
      </w:r>
      <w:bookmarkEnd w:id="8"/>
    </w:p>
    <w:p>
      <w:pPr>
        <w:pageBreakBefore w:val="0"/>
        <w:kinsoku/>
        <w:wordWrap/>
        <w:overflowPunct/>
        <w:topLinePunct w:val="0"/>
        <w:autoSpaceDE/>
        <w:autoSpaceDN/>
        <w:bidi w:val="0"/>
        <w:adjustRightInd/>
        <w:spacing w:line="560" w:lineRule="exact"/>
        <w:ind w:firstLine="560" w:firstLineChars="200"/>
        <w:rPr>
          <w:rStyle w:val="19"/>
          <w:rFonts w:ascii="仿宋_GB2312" w:eastAsia="仿宋_GB2312"/>
          <w:b w:val="0"/>
          <w:bCs w:val="0"/>
          <w:sz w:val="28"/>
          <w:szCs w:val="36"/>
        </w:rPr>
      </w:pPr>
      <w:r>
        <w:rPr>
          <w:rFonts w:hint="eastAsia" w:ascii="仿宋_GB2312" w:eastAsia="仿宋_GB2312"/>
          <w:sz w:val="28"/>
          <w:szCs w:val="36"/>
        </w:rPr>
        <w:t>（1）</w:t>
      </w:r>
      <w:r>
        <w:rPr>
          <w:rStyle w:val="19"/>
          <w:rFonts w:hint="eastAsia" w:ascii="仿宋_GB2312" w:eastAsia="仿宋_GB2312"/>
          <w:b w:val="0"/>
          <w:bCs w:val="0"/>
          <w:sz w:val="28"/>
          <w:szCs w:val="36"/>
        </w:rPr>
        <w:t>整体支出评价使用方法</w:t>
      </w:r>
    </w:p>
    <w:p>
      <w:pPr>
        <w:pageBreakBefore w:val="0"/>
        <w:kinsoku/>
        <w:wordWrap/>
        <w:overflowPunct/>
        <w:topLinePunct w:val="0"/>
        <w:autoSpaceDE/>
        <w:autoSpaceDN/>
        <w:bidi w:val="0"/>
        <w:adjustRightInd/>
        <w:spacing w:line="560" w:lineRule="exact"/>
        <w:ind w:firstLine="560" w:firstLineChars="200"/>
        <w:rPr>
          <w:rStyle w:val="19"/>
          <w:rFonts w:hint="eastAsia" w:ascii="仿宋_GB2312" w:eastAsia="仿宋_GB2312"/>
          <w:b w:val="0"/>
          <w:bCs w:val="0"/>
          <w:sz w:val="28"/>
          <w:szCs w:val="36"/>
          <w:lang w:eastAsia="zh-CN"/>
        </w:rPr>
      </w:pPr>
      <w:r>
        <w:rPr>
          <w:rStyle w:val="19"/>
          <w:rFonts w:hint="eastAsia" w:ascii="仿宋_GB2312" w:eastAsia="仿宋_GB2312"/>
          <w:b w:val="0"/>
          <w:bCs w:val="0"/>
          <w:sz w:val="28"/>
          <w:szCs w:val="36"/>
        </w:rPr>
        <w:t>本次单位整体支出绩效自评采用综合指数评价法方法，原因是：</w:t>
      </w:r>
      <w:r>
        <w:rPr>
          <w:rStyle w:val="19"/>
          <w:rFonts w:hint="eastAsia" w:ascii="仿宋_GB2312" w:eastAsia="仿宋_GB2312"/>
          <w:b w:val="0"/>
          <w:bCs w:val="0"/>
          <w:sz w:val="28"/>
          <w:szCs w:val="36"/>
          <w:lang w:eastAsia="zh-CN"/>
        </w:rPr>
        <w:t>我局把各项绩效指标的实际水平对照评价标准值分别计算各项指标评价得分，再按照设定的各项指标权数计算出综合评价得分，分析评价绩效目标实现情况的评价方法。</w:t>
      </w:r>
      <w:r>
        <w:rPr>
          <w:rStyle w:val="19"/>
          <w:rFonts w:hint="eastAsia" w:ascii="仿宋_GB2312" w:eastAsia="仿宋_GB2312"/>
          <w:b w:val="0"/>
          <w:bCs w:val="0"/>
          <w:sz w:val="28"/>
          <w:szCs w:val="36"/>
        </w:rPr>
        <w:t>综合指数评价法</w:t>
      </w:r>
      <w:r>
        <w:rPr>
          <w:rStyle w:val="19"/>
          <w:rFonts w:hint="eastAsia" w:ascii="仿宋_GB2312" w:eastAsia="仿宋_GB2312"/>
          <w:b w:val="0"/>
          <w:bCs w:val="0"/>
          <w:sz w:val="28"/>
          <w:szCs w:val="36"/>
          <w:lang w:val="en-US" w:eastAsia="zh-CN"/>
        </w:rPr>
        <w:t>能够综合分析各个项目</w:t>
      </w:r>
      <w:r>
        <w:rPr>
          <w:rStyle w:val="19"/>
          <w:rFonts w:hint="eastAsia" w:ascii="仿宋_GB2312" w:eastAsia="仿宋_GB2312"/>
          <w:b w:val="0"/>
          <w:bCs w:val="0"/>
          <w:sz w:val="28"/>
          <w:szCs w:val="36"/>
        </w:rPr>
        <w:t>的原定目标和目的是否可能达到，目标是否需要调整;原定效益是否可能实现以及实现的程度;</w:t>
      </w:r>
      <w:r>
        <w:rPr>
          <w:rStyle w:val="19"/>
          <w:rFonts w:hint="eastAsia" w:ascii="仿宋_GB2312" w:eastAsia="仿宋_GB2312"/>
          <w:b w:val="0"/>
          <w:bCs w:val="0"/>
          <w:sz w:val="28"/>
          <w:szCs w:val="36"/>
          <w:lang w:val="en-US" w:eastAsia="zh-CN"/>
        </w:rPr>
        <w:t>分析</w:t>
      </w:r>
      <w:r>
        <w:rPr>
          <w:rStyle w:val="19"/>
          <w:rFonts w:hint="eastAsia" w:ascii="仿宋_GB2312" w:eastAsia="仿宋_GB2312"/>
          <w:b w:val="0"/>
          <w:bCs w:val="0"/>
          <w:sz w:val="28"/>
          <w:szCs w:val="36"/>
        </w:rPr>
        <w:t>项目运营</w:t>
      </w:r>
      <w:r>
        <w:rPr>
          <w:rStyle w:val="19"/>
          <w:rFonts w:hint="eastAsia" w:ascii="仿宋_GB2312" w:eastAsia="仿宋_GB2312"/>
          <w:b w:val="0"/>
          <w:bCs w:val="0"/>
          <w:sz w:val="28"/>
          <w:szCs w:val="36"/>
          <w:lang w:val="en-US" w:eastAsia="zh-CN"/>
        </w:rPr>
        <w:t>的</w:t>
      </w:r>
      <w:r>
        <w:rPr>
          <w:rStyle w:val="19"/>
          <w:rFonts w:hint="eastAsia" w:ascii="仿宋_GB2312" w:eastAsia="仿宋_GB2312"/>
          <w:b w:val="0"/>
          <w:bCs w:val="0"/>
          <w:sz w:val="28"/>
          <w:szCs w:val="36"/>
        </w:rPr>
        <w:t>可持续性，</w:t>
      </w:r>
      <w:r>
        <w:rPr>
          <w:rStyle w:val="19"/>
          <w:rFonts w:hint="eastAsia" w:ascii="仿宋_GB2312" w:eastAsia="仿宋_GB2312"/>
          <w:b w:val="0"/>
          <w:bCs w:val="0"/>
          <w:sz w:val="28"/>
          <w:szCs w:val="36"/>
          <w:lang w:val="en-US" w:eastAsia="zh-CN"/>
        </w:rPr>
        <w:t>有效的总结</w:t>
      </w:r>
      <w:r>
        <w:rPr>
          <w:rStyle w:val="19"/>
          <w:rFonts w:hint="eastAsia" w:ascii="仿宋_GB2312" w:eastAsia="仿宋_GB2312"/>
          <w:b w:val="0"/>
          <w:bCs w:val="0"/>
          <w:sz w:val="28"/>
          <w:szCs w:val="36"/>
        </w:rPr>
        <w:t>下一步</w:t>
      </w:r>
      <w:r>
        <w:rPr>
          <w:rStyle w:val="19"/>
          <w:rFonts w:hint="eastAsia" w:ascii="仿宋_GB2312" w:eastAsia="仿宋_GB2312"/>
          <w:b w:val="0"/>
          <w:bCs w:val="0"/>
          <w:sz w:val="28"/>
          <w:szCs w:val="36"/>
          <w:lang w:val="en-US" w:eastAsia="zh-CN"/>
        </w:rPr>
        <w:t>工作中的</w:t>
      </w:r>
      <w:r>
        <w:rPr>
          <w:rStyle w:val="19"/>
          <w:rFonts w:hint="eastAsia" w:ascii="仿宋_GB2312" w:eastAsia="仿宋_GB2312"/>
          <w:b w:val="0"/>
          <w:bCs w:val="0"/>
          <w:sz w:val="28"/>
          <w:szCs w:val="36"/>
        </w:rPr>
        <w:t>风险</w:t>
      </w:r>
      <w:r>
        <w:rPr>
          <w:rStyle w:val="19"/>
          <w:rFonts w:hint="eastAsia" w:ascii="仿宋_GB2312" w:eastAsia="仿宋_GB2312"/>
          <w:b w:val="0"/>
          <w:bCs w:val="0"/>
          <w:sz w:val="28"/>
          <w:szCs w:val="36"/>
          <w:lang w:val="en-US" w:eastAsia="zh-CN"/>
        </w:rPr>
        <w:t>隐患</w:t>
      </w:r>
      <w:r>
        <w:rPr>
          <w:rStyle w:val="19"/>
          <w:rFonts w:hint="eastAsia" w:ascii="仿宋_GB2312" w:eastAsia="仿宋_GB2312"/>
          <w:b w:val="0"/>
          <w:bCs w:val="0"/>
          <w:sz w:val="28"/>
          <w:szCs w:val="36"/>
        </w:rPr>
        <w:t>。</w:t>
      </w:r>
    </w:p>
    <w:p>
      <w:pPr>
        <w:pageBreakBefore w:val="0"/>
        <w:kinsoku/>
        <w:wordWrap/>
        <w:overflowPunct/>
        <w:topLinePunct w:val="0"/>
        <w:autoSpaceDE/>
        <w:autoSpaceDN/>
        <w:bidi w:val="0"/>
        <w:adjustRightInd/>
        <w:spacing w:line="560" w:lineRule="exact"/>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（2）整体支出评价主要内容</w:t>
      </w:r>
    </w:p>
    <w:p>
      <w:pPr>
        <w:pageBreakBefore w:val="0"/>
        <w:kinsoku/>
        <w:wordWrap/>
        <w:overflowPunct/>
        <w:topLinePunct w:val="0"/>
        <w:autoSpaceDE/>
        <w:autoSpaceDN/>
        <w:bidi w:val="0"/>
        <w:adjustRightInd/>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pageBreakBefore w:val="0"/>
        <w:kinsoku/>
        <w:wordWrap/>
        <w:overflowPunct/>
        <w:topLinePunct w:val="0"/>
        <w:autoSpaceDE/>
        <w:autoSpaceDN/>
        <w:bidi w:val="0"/>
        <w:adjustRightInd/>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pageBreakBefore w:val="0"/>
        <w:kinsoku/>
        <w:wordWrap/>
        <w:overflowPunct/>
        <w:topLinePunct w:val="0"/>
        <w:autoSpaceDE/>
        <w:autoSpaceDN/>
        <w:bidi w:val="0"/>
        <w:adjustRightInd/>
        <w:spacing w:line="560" w:lineRule="exact"/>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pageBreakBefore w:val="0"/>
        <w:kinsoku/>
        <w:wordWrap/>
        <w:overflowPunct/>
        <w:topLinePunct w:val="0"/>
        <w:autoSpaceDE/>
        <w:autoSpaceDN/>
        <w:bidi w:val="0"/>
        <w:adjustRightInd/>
        <w:spacing w:line="560" w:lineRule="exact"/>
        <w:ind w:firstLine="560" w:firstLineChars="200"/>
        <w:rPr>
          <w:rStyle w:val="19"/>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pageBreakBefore w:val="0"/>
        <w:kinsoku/>
        <w:wordWrap/>
        <w:overflowPunct/>
        <w:topLinePunct w:val="0"/>
        <w:autoSpaceDE/>
        <w:autoSpaceDN/>
        <w:bidi w:val="0"/>
        <w:adjustRightInd/>
        <w:spacing w:line="560" w:lineRule="exact"/>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（3）整体支出评价涉及对象及范围</w:t>
      </w:r>
    </w:p>
    <w:p>
      <w:pPr>
        <w:pageBreakBefore w:val="0"/>
        <w:kinsoku/>
        <w:wordWrap/>
        <w:overflowPunct/>
        <w:topLinePunct w:val="0"/>
        <w:autoSpaceDE/>
        <w:autoSpaceDN/>
        <w:bidi w:val="0"/>
        <w:adjustRightInd/>
        <w:spacing w:line="560" w:lineRule="exact"/>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特克斯县交通运输局</w:t>
      </w:r>
      <w:r>
        <w:rPr>
          <w:rFonts w:hint="eastAsia" w:ascii="仿宋_GB2312" w:eastAsia="仿宋_GB2312"/>
          <w:sz w:val="28"/>
          <w:szCs w:val="36"/>
        </w:rPr>
        <w:t>所有财政资金支出活动。</w:t>
      </w:r>
    </w:p>
    <w:p>
      <w:pPr>
        <w:pageBreakBefore w:val="0"/>
        <w:kinsoku/>
        <w:wordWrap/>
        <w:overflowPunct/>
        <w:topLinePunct w:val="0"/>
        <w:autoSpaceDE/>
        <w:autoSpaceDN/>
        <w:bidi w:val="0"/>
        <w:adjustRightInd/>
        <w:spacing w:line="560" w:lineRule="exact"/>
        <w:ind w:firstLine="560" w:firstLineChars="200"/>
        <w:rPr>
          <w:rStyle w:val="19"/>
          <w:rFonts w:ascii="仿宋_GB2312" w:eastAsia="仿宋_GB2312"/>
          <w:b w:val="0"/>
          <w:bCs w:val="0"/>
          <w:sz w:val="28"/>
          <w:szCs w:val="36"/>
        </w:rPr>
      </w:pPr>
      <w:r>
        <w:rPr>
          <w:rStyle w:val="19"/>
          <w:rFonts w:hint="eastAsia" w:ascii="仿宋_GB2312" w:eastAsia="仿宋_GB2312"/>
          <w:b w:val="0"/>
          <w:bCs w:val="0"/>
          <w:sz w:val="28"/>
          <w:szCs w:val="36"/>
        </w:rPr>
        <w:t>整体支出评价范围：</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lang w:val="en-US" w:eastAsia="zh-CN"/>
        </w:rPr>
      </w:pPr>
      <w:r>
        <w:rPr>
          <w:rStyle w:val="19"/>
          <w:rFonts w:ascii="仿宋_GB2312" w:hAnsi="楷体" w:eastAsia="仿宋_GB2312"/>
          <w:b w:val="0"/>
          <w:spacing w:val="-4"/>
          <w:sz w:val="28"/>
          <w:szCs w:val="28"/>
        </w:rPr>
        <w:fldChar w:fldCharType="begin"/>
      </w:r>
      <w:r>
        <w:rPr>
          <w:rStyle w:val="19"/>
          <w:rFonts w:ascii="仿宋_GB2312" w:hAnsi="楷体" w:eastAsia="仿宋_GB2312"/>
          <w:b w:val="0"/>
          <w:spacing w:val="-4"/>
          <w:sz w:val="28"/>
          <w:szCs w:val="28"/>
        </w:rPr>
        <w:instrText xml:space="preserve"> </w:instrText>
      </w:r>
      <w:r>
        <w:rPr>
          <w:rStyle w:val="19"/>
          <w:rFonts w:hint="eastAsia" w:ascii="仿宋_GB2312" w:hAnsi="楷体" w:eastAsia="仿宋_GB2312"/>
          <w:b w:val="0"/>
          <w:spacing w:val="-4"/>
          <w:sz w:val="28"/>
          <w:szCs w:val="28"/>
        </w:rPr>
        <w:instrText xml:space="preserve">= 1 \* GB3</w:instrText>
      </w:r>
      <w:r>
        <w:rPr>
          <w:rStyle w:val="19"/>
          <w:rFonts w:ascii="仿宋_GB2312" w:hAnsi="楷体" w:eastAsia="仿宋_GB2312"/>
          <w:b w:val="0"/>
          <w:spacing w:val="-4"/>
          <w:sz w:val="28"/>
          <w:szCs w:val="28"/>
        </w:rPr>
        <w:instrText xml:space="preserve"> </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①</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基本支出</w:t>
      </w:r>
      <w:r>
        <w:rPr>
          <w:rStyle w:val="19"/>
          <w:rFonts w:hint="eastAsia" w:ascii="仿宋_GB2312" w:hAnsi="楷体" w:eastAsia="仿宋_GB2312"/>
          <w:b w:val="0"/>
          <w:spacing w:val="-4"/>
          <w:sz w:val="28"/>
          <w:szCs w:val="28"/>
          <w:lang w:val="en-US" w:eastAsia="zh-CN"/>
        </w:rPr>
        <w:t>1063.72</w:t>
      </w:r>
      <w:r>
        <w:rPr>
          <w:rStyle w:val="19"/>
          <w:rFonts w:hint="eastAsia" w:ascii="仿宋_GB2312" w:hAnsi="楷体" w:eastAsia="仿宋_GB2312"/>
          <w:b w:val="0"/>
          <w:spacing w:val="-4"/>
          <w:sz w:val="28"/>
          <w:szCs w:val="28"/>
        </w:rPr>
        <w:t>万元，其中：工资福利支出、商品和服务支出、对个人和家庭的补助支出</w:t>
      </w:r>
      <w:r>
        <w:rPr>
          <w:rStyle w:val="19"/>
          <w:rFonts w:hint="eastAsia" w:ascii="仿宋_GB2312" w:hAnsi="楷体" w:eastAsia="仿宋_GB2312"/>
          <w:b w:val="0"/>
          <w:spacing w:val="-4"/>
          <w:sz w:val="28"/>
          <w:szCs w:val="28"/>
          <w:lang w:val="en-US" w:eastAsia="zh-CN"/>
        </w:rPr>
        <w:t>.</w:t>
      </w:r>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fldChar w:fldCharType="begin"/>
      </w:r>
      <w:r>
        <w:rPr>
          <w:rStyle w:val="19"/>
          <w:rFonts w:ascii="仿宋_GB2312" w:hAnsi="楷体" w:eastAsia="仿宋_GB2312"/>
          <w:b w:val="0"/>
          <w:spacing w:val="-4"/>
          <w:sz w:val="28"/>
          <w:szCs w:val="28"/>
        </w:rPr>
        <w:instrText xml:space="preserve"> </w:instrText>
      </w:r>
      <w:r>
        <w:rPr>
          <w:rStyle w:val="19"/>
          <w:rFonts w:hint="eastAsia" w:ascii="仿宋_GB2312" w:hAnsi="楷体" w:eastAsia="仿宋_GB2312"/>
          <w:b w:val="0"/>
          <w:spacing w:val="-4"/>
          <w:sz w:val="28"/>
          <w:szCs w:val="28"/>
        </w:rPr>
        <w:instrText xml:space="preserve">= 2 \* GB3</w:instrText>
      </w:r>
      <w:r>
        <w:rPr>
          <w:rStyle w:val="19"/>
          <w:rFonts w:ascii="仿宋_GB2312" w:hAnsi="楷体" w:eastAsia="仿宋_GB2312"/>
          <w:b w:val="0"/>
          <w:spacing w:val="-4"/>
          <w:sz w:val="28"/>
          <w:szCs w:val="28"/>
        </w:rPr>
        <w:instrText xml:space="preserve"> </w:instrText>
      </w:r>
      <w:r>
        <w:rPr>
          <w:rStyle w:val="19"/>
          <w:rFonts w:ascii="仿宋_GB2312" w:hAnsi="楷体" w:eastAsia="仿宋_GB2312"/>
          <w:b w:val="0"/>
          <w:spacing w:val="-4"/>
          <w:sz w:val="28"/>
          <w:szCs w:val="28"/>
        </w:rPr>
        <w:fldChar w:fldCharType="separate"/>
      </w:r>
      <w:r>
        <w:rPr>
          <w:rStyle w:val="19"/>
          <w:rFonts w:hint="eastAsia" w:ascii="仿宋_GB2312" w:hAnsi="楷体" w:eastAsia="仿宋_GB2312"/>
          <w:b w:val="0"/>
          <w:spacing w:val="-4"/>
          <w:sz w:val="28"/>
          <w:szCs w:val="28"/>
        </w:rPr>
        <w:t>②</w:t>
      </w:r>
      <w:r>
        <w:rPr>
          <w:rStyle w:val="19"/>
          <w:rFonts w:ascii="仿宋_GB2312" w:hAnsi="楷体" w:eastAsia="仿宋_GB2312"/>
          <w:b w:val="0"/>
          <w:spacing w:val="-4"/>
          <w:sz w:val="28"/>
          <w:szCs w:val="28"/>
        </w:rPr>
        <w:fldChar w:fldCharType="end"/>
      </w:r>
      <w:r>
        <w:rPr>
          <w:rStyle w:val="19"/>
          <w:rFonts w:hint="eastAsia" w:ascii="仿宋_GB2312" w:hAnsi="楷体" w:eastAsia="仿宋_GB2312"/>
          <w:b w:val="0"/>
          <w:spacing w:val="-4"/>
          <w:sz w:val="28"/>
          <w:szCs w:val="28"/>
        </w:rPr>
        <w:t>项目支出</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lang w:eastAsia="zh-CN"/>
        </w:rPr>
        <w:t>其中：伊犁州特克斯县</w:t>
      </w:r>
      <w:r>
        <w:rPr>
          <w:rStyle w:val="19"/>
          <w:rFonts w:hint="eastAsia" w:ascii="仿宋_GB2312" w:hAnsi="楷体" w:eastAsia="仿宋_GB2312"/>
          <w:b w:val="0"/>
          <w:spacing w:val="-4"/>
          <w:sz w:val="28"/>
          <w:szCs w:val="28"/>
          <w:lang w:val="en-US" w:eastAsia="zh-CN"/>
        </w:rPr>
        <w:t>2021年村组道路建设</w:t>
      </w:r>
      <w:r>
        <w:rPr>
          <w:rStyle w:val="19"/>
          <w:rFonts w:hint="eastAsia" w:ascii="仿宋_GB2312" w:hAnsi="楷体" w:eastAsia="仿宋_GB2312"/>
          <w:b w:val="0"/>
          <w:spacing w:val="-4"/>
          <w:sz w:val="28"/>
          <w:szCs w:val="28"/>
        </w:rPr>
        <w:t>项目</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2020年财政专项扶贫资金项目质保金项目</w:t>
      </w:r>
      <w:r>
        <w:rPr>
          <w:rStyle w:val="19"/>
          <w:rFonts w:hint="eastAsia" w:ascii="仿宋_GB2312" w:hAnsi="楷体" w:eastAsia="仿宋_GB2312"/>
          <w:b w:val="0"/>
          <w:spacing w:val="-4"/>
          <w:sz w:val="28"/>
          <w:szCs w:val="28"/>
          <w:lang w:eastAsia="zh-CN"/>
        </w:rPr>
        <w:t>；喀拉托海镇达根别勒村村组道路建设项目</w:t>
      </w:r>
      <w:r>
        <w:rPr>
          <w:rStyle w:val="19"/>
          <w:rFonts w:hint="eastAsia" w:ascii="仿宋_GB2312" w:hAnsi="楷体" w:eastAsia="仿宋_GB2312"/>
          <w:b w:val="0"/>
          <w:spacing w:val="-4"/>
          <w:sz w:val="28"/>
          <w:szCs w:val="28"/>
          <w:lang w:val="en-US" w:eastAsia="zh-CN"/>
        </w:rPr>
        <w:t>；伊犁州特克斯县喀甫萨朗主干道建设项目；</w:t>
      </w:r>
      <w:r>
        <w:rPr>
          <w:rStyle w:val="19"/>
          <w:rFonts w:hint="eastAsia" w:ascii="仿宋_GB2312" w:hAnsi="楷体" w:eastAsia="仿宋_GB2312"/>
          <w:b w:val="0"/>
          <w:spacing w:val="-4"/>
          <w:sz w:val="28"/>
          <w:szCs w:val="28"/>
          <w:highlight w:val="none"/>
          <w:lang w:val="en-US" w:eastAsia="zh-CN"/>
        </w:rPr>
        <w:t>喀拉托海镇达根别勒村村组道路建设项目；特克斯县八卦城喀拉峻旅游基础设施建设及旅游服务设施建设项目；车辆购置税用于2020公路等基础设施建设支出项目；伊犁州特克斯县中天山旅游景区琼库什台生态旅游基础设施建设项目。</w:t>
      </w:r>
    </w:p>
    <w:p>
      <w:pPr>
        <w:pStyle w:val="4"/>
        <w:pageBreakBefore w:val="0"/>
        <w:kinsoku/>
        <w:wordWrap/>
        <w:overflowPunct/>
        <w:topLinePunct w:val="0"/>
        <w:autoSpaceDE/>
        <w:autoSpaceDN/>
        <w:bidi w:val="0"/>
        <w:adjustRightInd/>
        <w:spacing w:before="0" w:after="0" w:line="560" w:lineRule="exact"/>
        <w:ind w:firstLine="723" w:firstLineChars="200"/>
        <w:rPr>
          <w:rFonts w:ascii="仿宋" w:hAnsi="仿宋" w:eastAsia="仿宋"/>
          <w:sz w:val="36"/>
          <w:szCs w:val="36"/>
          <w:lang w:bidi="ar"/>
        </w:rPr>
      </w:pPr>
      <w:bookmarkStart w:id="9" w:name="_Toc70450297"/>
      <w:r>
        <w:rPr>
          <w:rFonts w:hint="eastAsia" w:ascii="仿宋" w:hAnsi="仿宋" w:eastAsia="仿宋"/>
          <w:sz w:val="36"/>
          <w:szCs w:val="36"/>
          <w:lang w:bidi="ar"/>
        </w:rPr>
        <w:t>二、部门单位整体支出管理及使用情况</w:t>
      </w:r>
      <w:bookmarkEnd w:id="9"/>
    </w:p>
    <w:p>
      <w:pPr>
        <w:pStyle w:val="5"/>
        <w:pageBreakBefore w:val="0"/>
        <w:kinsoku/>
        <w:wordWrap/>
        <w:overflowPunct/>
        <w:topLinePunct w:val="0"/>
        <w:autoSpaceDE/>
        <w:autoSpaceDN/>
        <w:bidi w:val="0"/>
        <w:adjustRightInd/>
        <w:spacing w:before="0" w:after="0" w:line="560" w:lineRule="exact"/>
        <w:ind w:firstLine="643" w:firstLineChars="200"/>
        <w:rPr>
          <w:rStyle w:val="19"/>
          <w:rFonts w:hint="eastAsia" w:ascii="仿宋" w:hAnsi="仿宋" w:eastAsia="仿宋"/>
          <w:b/>
          <w:bCs/>
        </w:rPr>
      </w:pPr>
      <w:bookmarkStart w:id="10" w:name="_Toc70450298"/>
      <w:r>
        <w:rPr>
          <w:rStyle w:val="19"/>
          <w:rFonts w:hint="eastAsia" w:ascii="仿宋" w:hAnsi="仿宋" w:eastAsia="仿宋"/>
          <w:b/>
          <w:bCs/>
        </w:rPr>
        <w:t>（一）预算管理</w:t>
      </w:r>
      <w:bookmarkEnd w:id="10"/>
      <w:bookmarkStart w:id="11" w:name="_Toc70450299"/>
    </w:p>
    <w:p>
      <w:pPr>
        <w:pStyle w:val="5"/>
        <w:pageBreakBefore w:val="0"/>
        <w:kinsoku/>
        <w:wordWrap/>
        <w:overflowPunct/>
        <w:topLinePunct w:val="0"/>
        <w:autoSpaceDE/>
        <w:autoSpaceDN/>
        <w:bidi w:val="0"/>
        <w:adjustRightInd/>
        <w:spacing w:before="0" w:after="0" w:line="560" w:lineRule="exact"/>
        <w:ind w:firstLine="643" w:firstLineChars="200"/>
        <w:rPr>
          <w:rStyle w:val="19"/>
          <w:rFonts w:ascii="仿宋" w:hAnsi="仿宋" w:eastAsia="仿宋"/>
          <w:b/>
          <w:bCs/>
        </w:rPr>
      </w:pPr>
      <w:r>
        <w:rPr>
          <w:rStyle w:val="19"/>
          <w:rFonts w:ascii="仿宋" w:hAnsi="仿宋" w:eastAsia="仿宋"/>
          <w:b/>
          <w:bCs/>
        </w:rPr>
        <w:t>1</w:t>
      </w:r>
      <w:r>
        <w:rPr>
          <w:rStyle w:val="19"/>
          <w:rFonts w:hint="eastAsia" w:ascii="仿宋" w:hAnsi="仿宋" w:eastAsia="仿宋"/>
          <w:b/>
          <w:bCs/>
        </w:rPr>
        <w:t>、预算编制管理</w:t>
      </w:r>
      <w:bookmarkEnd w:id="11"/>
    </w:p>
    <w:p>
      <w:pPr>
        <w:pageBreakBefore w:val="0"/>
        <w:kinsoku/>
        <w:wordWrap/>
        <w:overflowPunct/>
        <w:topLinePunct w:val="0"/>
        <w:autoSpaceDE/>
        <w:autoSpaceDN/>
        <w:bidi w:val="0"/>
        <w:adjustRightInd/>
        <w:spacing w:line="560" w:lineRule="exact"/>
        <w:ind w:firstLine="506" w:firstLineChars="181"/>
        <w:rPr>
          <w:rStyle w:val="19"/>
          <w:rFonts w:asciiTheme="minorEastAsia" w:hAnsiTheme="minorEastAsia"/>
          <w:color w:val="FF0000"/>
          <w:spacing w:val="-4"/>
          <w:sz w:val="28"/>
          <w:szCs w:val="28"/>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财政局</w:t>
      </w:r>
      <w:r>
        <w:rPr>
          <w:rFonts w:hint="eastAsia" w:ascii="仿宋_GB2312" w:eastAsia="仿宋_GB2312"/>
          <w:sz w:val="28"/>
          <w:szCs w:val="36"/>
          <w:lang w:eastAsia="zh-CN"/>
        </w:rPr>
        <w:t>的</w:t>
      </w:r>
      <w:r>
        <w:rPr>
          <w:rFonts w:hint="eastAsia" w:ascii="仿宋_GB2312" w:eastAsia="仿宋_GB2312"/>
          <w:sz w:val="28"/>
          <w:szCs w:val="36"/>
        </w:rPr>
        <w:t>要求，部门预算及绩效目标在</w:t>
      </w:r>
      <w:r>
        <w:rPr>
          <w:rFonts w:hint="eastAsia" w:ascii="仿宋_GB2312" w:eastAsia="仿宋_GB2312"/>
          <w:sz w:val="28"/>
          <w:szCs w:val="36"/>
          <w:lang w:eastAsia="zh-CN"/>
        </w:rPr>
        <w:t>政府网站</w:t>
      </w:r>
      <w:r>
        <w:rPr>
          <w:rFonts w:hint="eastAsia" w:ascii="仿宋_GB2312" w:eastAsia="仿宋_GB2312"/>
          <w:sz w:val="28"/>
          <w:szCs w:val="36"/>
        </w:rPr>
        <w:t>公开，</w:t>
      </w:r>
      <w:r>
        <w:rPr>
          <w:rFonts w:ascii="仿宋_GB2312" w:eastAsia="仿宋_GB2312"/>
          <w:sz w:val="28"/>
          <w:szCs w:val="36"/>
          <w:lang w:val="zh-CN"/>
        </w:rPr>
        <w:t>广泛接受</w:t>
      </w:r>
      <w:r>
        <w:rPr>
          <w:rFonts w:hint="eastAsia" w:ascii="仿宋_GB2312" w:eastAsia="仿宋_GB2312"/>
          <w:sz w:val="28"/>
          <w:szCs w:val="36"/>
          <w:lang w:val="en-US" w:eastAsia="zh-CN"/>
        </w:rPr>
        <w:t>服务对象及全</w:t>
      </w:r>
      <w:r>
        <w:rPr>
          <w:rFonts w:ascii="仿宋_GB2312" w:eastAsia="仿宋_GB2312"/>
          <w:sz w:val="28"/>
          <w:szCs w:val="36"/>
          <w:lang w:val="zh-CN"/>
        </w:rPr>
        <w:t>社会监督</w:t>
      </w:r>
      <w:r>
        <w:rPr>
          <w:rFonts w:hint="eastAsia" w:ascii="仿宋_GB2312" w:eastAsia="仿宋_GB2312"/>
          <w:sz w:val="28"/>
          <w:szCs w:val="36"/>
          <w:lang w:val="zh-CN"/>
        </w:rPr>
        <w:t>。</w:t>
      </w:r>
    </w:p>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12" w:name="_Toc70450300"/>
      <w:r>
        <w:rPr>
          <w:rStyle w:val="19"/>
          <w:rFonts w:hint="eastAsia" w:ascii="仿宋" w:hAnsi="仿宋" w:eastAsia="仿宋"/>
          <w:b/>
          <w:bCs/>
        </w:rPr>
        <w:t>2</w:t>
      </w:r>
      <w:r>
        <w:rPr>
          <w:rStyle w:val="19"/>
          <w:rFonts w:ascii="仿宋" w:hAnsi="仿宋" w:eastAsia="仿宋"/>
          <w:b/>
          <w:bCs/>
        </w:rPr>
        <w:t>、预算</w:t>
      </w:r>
      <w:r>
        <w:rPr>
          <w:rStyle w:val="19"/>
          <w:rFonts w:hint="eastAsia" w:ascii="仿宋" w:hAnsi="仿宋" w:eastAsia="仿宋"/>
          <w:b/>
          <w:bCs/>
        </w:rPr>
        <w:t>支出</w:t>
      </w:r>
      <w:r>
        <w:rPr>
          <w:rStyle w:val="19"/>
          <w:rFonts w:ascii="仿宋" w:hAnsi="仿宋" w:eastAsia="仿宋"/>
          <w:b/>
          <w:bCs/>
        </w:rPr>
        <w:t>管理</w:t>
      </w:r>
      <w:bookmarkEnd w:id="12"/>
    </w:p>
    <w:p>
      <w:pPr>
        <w:pageBreakBefore w:val="0"/>
        <w:kinsoku/>
        <w:wordWrap/>
        <w:overflowPunct/>
        <w:topLinePunct w:val="0"/>
        <w:autoSpaceDE/>
        <w:autoSpaceDN/>
        <w:bidi w:val="0"/>
        <w:adjustRightInd/>
        <w:spacing w:line="560" w:lineRule="exact"/>
        <w:ind w:firstLine="560" w:firstLineChars="200"/>
        <w:rPr>
          <w:rStyle w:val="19"/>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特克斯县财政局</w:t>
      </w:r>
      <w:r>
        <w:rPr>
          <w:rFonts w:hint="eastAsia" w:ascii="仿宋_GB2312" w:eastAsia="仿宋_GB2312"/>
          <w:sz w:val="28"/>
          <w:szCs w:val="36"/>
        </w:rPr>
        <w:t>《</w:t>
      </w:r>
      <w:r>
        <w:rPr>
          <w:rFonts w:hint="eastAsia" w:ascii="仿宋_GB2312" w:eastAsia="仿宋_GB2312"/>
          <w:sz w:val="28"/>
          <w:szCs w:val="36"/>
          <w:lang w:eastAsia="zh-CN"/>
        </w:rPr>
        <w:t>财政拨付资金审批程序</w:t>
      </w:r>
      <w:r>
        <w:rPr>
          <w:rFonts w:hint="eastAsia" w:ascii="仿宋_GB2312" w:eastAsia="仿宋_GB2312"/>
          <w:sz w:val="28"/>
          <w:szCs w:val="36"/>
        </w:rPr>
        <w:t>》相关规定和</w:t>
      </w:r>
      <w:r>
        <w:rPr>
          <w:rFonts w:hint="eastAsia" w:ascii="仿宋_GB2312" w:eastAsia="仿宋_GB2312"/>
          <w:sz w:val="28"/>
          <w:szCs w:val="36"/>
          <w:lang w:eastAsia="zh-CN"/>
        </w:rPr>
        <w:t>特克斯县交通运输局</w:t>
      </w:r>
      <w:r>
        <w:rPr>
          <w:rFonts w:hint="eastAsia" w:ascii="仿宋_GB2312" w:eastAsia="仿宋_GB2312"/>
          <w:sz w:val="28"/>
          <w:szCs w:val="36"/>
        </w:rPr>
        <w:t>《</w:t>
      </w:r>
      <w:r>
        <w:rPr>
          <w:rFonts w:hint="eastAsia" w:ascii="仿宋_GB2312" w:eastAsia="仿宋_GB2312"/>
          <w:sz w:val="28"/>
          <w:szCs w:val="36"/>
          <w:lang w:eastAsia="zh-CN"/>
        </w:rPr>
        <w:t>预算管理规定</w:t>
      </w:r>
      <w:r>
        <w:rPr>
          <w:rFonts w:hint="eastAsia" w:ascii="仿宋_GB2312" w:eastAsia="仿宋_GB2312"/>
          <w:sz w:val="28"/>
          <w:szCs w:val="36"/>
        </w:rPr>
        <w:t>》规定流程，资金支出按照我内控体系中设定的流程申报审批进行；项目支出属于政府采购的，按照局</w:t>
      </w:r>
      <w:r>
        <w:rPr>
          <w:rFonts w:hint="eastAsia" w:ascii="仿宋_GB2312" w:eastAsia="仿宋_GB2312"/>
          <w:sz w:val="28"/>
          <w:szCs w:val="36"/>
          <w:lang w:eastAsia="zh-CN"/>
        </w:rPr>
        <w:t>特克斯县交通运输局</w:t>
      </w:r>
      <w:r>
        <w:rPr>
          <w:rFonts w:hint="eastAsia" w:ascii="仿宋_GB2312" w:eastAsia="仿宋_GB2312"/>
          <w:sz w:val="28"/>
          <w:szCs w:val="36"/>
        </w:rPr>
        <w:t>《</w:t>
      </w:r>
      <w:r>
        <w:rPr>
          <w:rFonts w:hint="eastAsia" w:ascii="仿宋_GB2312" w:eastAsia="仿宋_GB2312"/>
          <w:sz w:val="28"/>
          <w:szCs w:val="36"/>
          <w:lang w:eastAsia="zh-CN"/>
        </w:rPr>
        <w:t>政府</w:t>
      </w:r>
      <w:r>
        <w:rPr>
          <w:rFonts w:hint="eastAsia" w:ascii="仿宋_GB2312" w:eastAsia="仿宋_GB2312"/>
          <w:sz w:val="28"/>
          <w:szCs w:val="36"/>
        </w:rPr>
        <w:t>采购与招标管理办法》组织人员制定采购计划，按照财政局采购部门批复，进行公开招标、邀请招标等方式进行；属于非政府采购的项目，按照“三重一大”制度规定，重大项目支出上党组会研究决定。</w:t>
      </w:r>
    </w:p>
    <w:p>
      <w:pPr>
        <w:pStyle w:val="5"/>
        <w:pageBreakBefore w:val="0"/>
        <w:kinsoku/>
        <w:wordWrap/>
        <w:overflowPunct/>
        <w:topLinePunct w:val="0"/>
        <w:autoSpaceDE/>
        <w:autoSpaceDN/>
        <w:bidi w:val="0"/>
        <w:adjustRightInd/>
        <w:spacing w:before="0" w:after="0" w:line="560" w:lineRule="exact"/>
        <w:ind w:firstLine="562" w:firstLineChars="200"/>
        <w:rPr>
          <w:rStyle w:val="19"/>
          <w:b/>
          <w:bCs/>
          <w:sz w:val="28"/>
          <w:szCs w:val="28"/>
        </w:rPr>
      </w:pPr>
      <w:bookmarkStart w:id="13" w:name="_Toc70450301"/>
      <w:r>
        <w:rPr>
          <w:rStyle w:val="19"/>
          <w:rFonts w:hint="eastAsia"/>
          <w:b/>
          <w:bCs/>
          <w:sz w:val="28"/>
          <w:szCs w:val="28"/>
        </w:rPr>
        <w:t>（二）基本支出管理及使用情况</w:t>
      </w:r>
      <w:bookmarkEnd w:id="13"/>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2021年基本支出预算安排</w:t>
      </w:r>
      <w:r>
        <w:rPr>
          <w:rStyle w:val="19"/>
          <w:rFonts w:hint="eastAsia" w:ascii="仿宋_GB2312" w:hAnsi="楷体" w:eastAsia="仿宋_GB2312"/>
          <w:b w:val="0"/>
          <w:spacing w:val="-4"/>
          <w:sz w:val="28"/>
          <w:szCs w:val="28"/>
          <w:lang w:val="en-US" w:eastAsia="zh-CN"/>
        </w:rPr>
        <w:t>1063.72</w:t>
      </w:r>
      <w:r>
        <w:rPr>
          <w:rStyle w:val="19"/>
          <w:rFonts w:hint="eastAsia" w:ascii="仿宋_GB2312" w:hAnsi="楷体" w:eastAsia="仿宋_GB2312"/>
          <w:b w:val="0"/>
          <w:spacing w:val="-4"/>
          <w:sz w:val="28"/>
          <w:szCs w:val="28"/>
        </w:rPr>
        <w:t>万元，实际到位</w:t>
      </w:r>
      <w:r>
        <w:rPr>
          <w:rStyle w:val="19"/>
          <w:rFonts w:hint="eastAsia" w:ascii="仿宋_GB2312" w:hAnsi="楷体" w:eastAsia="仿宋_GB2312"/>
          <w:b w:val="0"/>
          <w:spacing w:val="-4"/>
          <w:sz w:val="28"/>
          <w:szCs w:val="28"/>
          <w:lang w:val="en-US" w:eastAsia="zh-CN"/>
        </w:rPr>
        <w:t>1063.72</w:t>
      </w:r>
      <w:r>
        <w:rPr>
          <w:rStyle w:val="19"/>
          <w:rFonts w:hint="eastAsia" w:ascii="仿宋_GB2312" w:hAnsi="楷体" w:eastAsia="仿宋_GB2312"/>
          <w:b w:val="0"/>
          <w:spacing w:val="-4"/>
          <w:sz w:val="28"/>
          <w:szCs w:val="28"/>
        </w:rPr>
        <w:t>万元,实际支出</w:t>
      </w:r>
      <w:r>
        <w:rPr>
          <w:rStyle w:val="19"/>
          <w:rFonts w:hint="eastAsia" w:ascii="仿宋_GB2312" w:hAnsi="楷体" w:eastAsia="仿宋_GB2312"/>
          <w:b w:val="0"/>
          <w:spacing w:val="-4"/>
          <w:sz w:val="28"/>
          <w:szCs w:val="28"/>
          <w:lang w:val="en-US" w:eastAsia="zh-CN"/>
        </w:rPr>
        <w:t>1063.72</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highlight w:val="none"/>
        </w:rPr>
        <w:t>占总支出的</w:t>
      </w:r>
      <w:r>
        <w:rPr>
          <w:rStyle w:val="19"/>
          <w:rFonts w:hint="eastAsia" w:ascii="仿宋_GB2312" w:hAnsi="楷体" w:eastAsia="仿宋_GB2312"/>
          <w:b w:val="0"/>
          <w:spacing w:val="-4"/>
          <w:sz w:val="28"/>
          <w:szCs w:val="28"/>
          <w:highlight w:val="none"/>
          <w:lang w:val="en-US" w:eastAsia="zh-CN"/>
        </w:rPr>
        <w:t>3.78</w:t>
      </w:r>
      <w:r>
        <w:rPr>
          <w:rStyle w:val="19"/>
          <w:rFonts w:hint="eastAsia" w:ascii="仿宋_GB2312" w:hAnsi="楷体" w:eastAsia="仿宋_GB2312"/>
          <w:b w:val="0"/>
          <w:spacing w:val="-4"/>
          <w:sz w:val="28"/>
          <w:szCs w:val="28"/>
          <w:highlight w:val="none"/>
        </w:rPr>
        <w:t>％，</w:t>
      </w:r>
      <w:r>
        <w:rPr>
          <w:rStyle w:val="19"/>
          <w:rFonts w:hint="eastAsia" w:ascii="仿宋_GB2312" w:hAnsi="楷体" w:eastAsia="仿宋_GB2312"/>
          <w:b w:val="0"/>
          <w:spacing w:val="-4"/>
          <w:sz w:val="28"/>
          <w:szCs w:val="28"/>
        </w:rPr>
        <w:t>其中：工资福利支出</w:t>
      </w:r>
      <w:r>
        <w:rPr>
          <w:rStyle w:val="19"/>
          <w:rFonts w:hint="eastAsia" w:ascii="仿宋_GB2312" w:hAnsi="楷体" w:eastAsia="仿宋_GB2312"/>
          <w:b w:val="0"/>
          <w:spacing w:val="-4"/>
          <w:sz w:val="28"/>
          <w:szCs w:val="28"/>
          <w:lang w:val="en-US" w:eastAsia="zh-CN"/>
        </w:rPr>
        <w:t>285.98</w:t>
      </w:r>
      <w:r>
        <w:rPr>
          <w:rStyle w:val="19"/>
          <w:rFonts w:hint="eastAsia" w:ascii="仿宋_GB2312" w:hAnsi="楷体" w:eastAsia="仿宋_GB2312"/>
          <w:b w:val="0"/>
          <w:spacing w:val="-4"/>
          <w:sz w:val="28"/>
          <w:szCs w:val="28"/>
        </w:rPr>
        <w:t>万元、商品和服务支出</w:t>
      </w:r>
      <w:r>
        <w:rPr>
          <w:rStyle w:val="19"/>
          <w:rFonts w:hint="eastAsia" w:ascii="仿宋_GB2312" w:hAnsi="楷体" w:eastAsia="仿宋_GB2312"/>
          <w:b w:val="0"/>
          <w:spacing w:val="-4"/>
          <w:sz w:val="28"/>
          <w:szCs w:val="28"/>
          <w:lang w:val="en-US" w:eastAsia="zh-CN"/>
        </w:rPr>
        <w:t>42.08</w:t>
      </w:r>
      <w:r>
        <w:rPr>
          <w:rStyle w:val="19"/>
          <w:rFonts w:hint="eastAsia" w:ascii="仿宋_GB2312" w:hAnsi="楷体" w:eastAsia="仿宋_GB2312"/>
          <w:b w:val="0"/>
          <w:spacing w:val="-4"/>
          <w:sz w:val="28"/>
          <w:szCs w:val="28"/>
        </w:rPr>
        <w:t>万元、对个人和家庭的补助</w:t>
      </w:r>
      <w:r>
        <w:rPr>
          <w:rStyle w:val="19"/>
          <w:rFonts w:hint="eastAsia" w:ascii="仿宋_GB2312" w:hAnsi="楷体" w:eastAsia="仿宋_GB2312"/>
          <w:b w:val="0"/>
          <w:spacing w:val="-4"/>
          <w:sz w:val="28"/>
          <w:szCs w:val="28"/>
          <w:lang w:val="en-US" w:eastAsia="zh-CN"/>
        </w:rPr>
        <w:t>735.66</w:t>
      </w:r>
      <w:r>
        <w:rPr>
          <w:rStyle w:val="19"/>
          <w:rFonts w:hint="eastAsia" w:ascii="仿宋_GB2312" w:hAnsi="楷体" w:eastAsia="仿宋_GB2312"/>
          <w:b w:val="0"/>
          <w:spacing w:val="-4"/>
          <w:sz w:val="28"/>
          <w:szCs w:val="28"/>
        </w:rPr>
        <w:t>万元、主要用于</w:t>
      </w:r>
      <w:r>
        <w:rPr>
          <w:rStyle w:val="19"/>
          <w:rFonts w:hint="eastAsia" w:ascii="仿宋_GB2312" w:hAnsi="楷体" w:eastAsia="仿宋_GB2312"/>
          <w:b w:val="0"/>
          <w:spacing w:val="-4"/>
          <w:sz w:val="28"/>
          <w:szCs w:val="28"/>
          <w:lang w:eastAsia="zh-CN"/>
        </w:rPr>
        <w:t>油价补贴</w:t>
      </w:r>
      <w:r>
        <w:rPr>
          <w:rStyle w:val="19"/>
          <w:rFonts w:hint="eastAsia" w:ascii="仿宋_GB2312" w:hAnsi="楷体" w:eastAsia="仿宋_GB2312"/>
          <w:b w:val="0"/>
          <w:spacing w:val="-4"/>
          <w:sz w:val="28"/>
          <w:szCs w:val="28"/>
          <w:lang w:val="en-US" w:eastAsia="zh-CN"/>
        </w:rPr>
        <w:t>、南疆人员生活补助、退休人员补助</w:t>
      </w:r>
      <w:r>
        <w:rPr>
          <w:rStyle w:val="19"/>
          <w:rFonts w:hint="eastAsia" w:ascii="仿宋_GB2312" w:hAnsi="楷体" w:eastAsia="仿宋_GB2312"/>
          <w:b w:val="0"/>
          <w:spacing w:val="-4"/>
          <w:sz w:val="28"/>
          <w:szCs w:val="28"/>
        </w:rPr>
        <w:t>。资本性支出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2021年基本支出比上年</w:t>
      </w:r>
      <w:r>
        <w:rPr>
          <w:rStyle w:val="19"/>
          <w:rFonts w:hint="eastAsia" w:ascii="仿宋_GB2312" w:hAnsi="楷体" w:eastAsia="仿宋_GB2312" w:cs="Times New Roman"/>
          <w:b w:val="0"/>
          <w:spacing w:val="-4"/>
          <w:sz w:val="28"/>
          <w:szCs w:val="28"/>
        </w:rPr>
        <w:t>978.88万元,</w:t>
      </w:r>
      <w:r>
        <w:rPr>
          <w:rStyle w:val="19"/>
          <w:rFonts w:hint="eastAsia" w:ascii="仿宋_GB2312" w:hAnsi="楷体" w:eastAsia="仿宋_GB2312"/>
          <w:b w:val="0"/>
          <w:spacing w:val="-4"/>
          <w:sz w:val="28"/>
          <w:szCs w:val="28"/>
        </w:rPr>
        <w:t>增加</w:t>
      </w:r>
      <w:r>
        <w:rPr>
          <w:rStyle w:val="19"/>
          <w:rFonts w:hint="eastAsia" w:ascii="仿宋_GB2312" w:hAnsi="楷体" w:eastAsia="仿宋_GB2312"/>
          <w:b w:val="0"/>
          <w:spacing w:val="-4"/>
          <w:sz w:val="28"/>
          <w:szCs w:val="28"/>
          <w:lang w:val="en-US" w:eastAsia="zh-CN"/>
        </w:rPr>
        <w:t>84.84</w:t>
      </w:r>
      <w:r>
        <w:rPr>
          <w:rStyle w:val="19"/>
          <w:rFonts w:hint="eastAsia" w:ascii="仿宋_GB2312" w:hAnsi="楷体" w:eastAsia="仿宋_GB2312"/>
          <w:b w:val="0"/>
          <w:spacing w:val="-4"/>
          <w:sz w:val="28"/>
          <w:szCs w:val="28"/>
        </w:rPr>
        <w:t>万元，上升</w:t>
      </w:r>
      <w:r>
        <w:rPr>
          <w:rStyle w:val="19"/>
          <w:rFonts w:ascii="仿宋_GB2312" w:hAnsi="楷体" w:eastAsia="仿宋_GB2312"/>
          <w:b w:val="0"/>
          <w:spacing w:val="-4"/>
          <w:sz w:val="28"/>
          <w:szCs w:val="28"/>
        </w:rPr>
        <w:t xml:space="preserve"> </w:t>
      </w:r>
      <w:r>
        <w:rPr>
          <w:rStyle w:val="19"/>
          <w:rFonts w:hint="eastAsia" w:ascii="仿宋_GB2312" w:hAnsi="宋体" w:eastAsia="仿宋_GB2312"/>
          <w:b w:val="0"/>
          <w:bCs w:val="0"/>
          <w:spacing w:val="-4"/>
          <w:sz w:val="28"/>
          <w:szCs w:val="28"/>
          <w:lang w:val="en-US" w:eastAsia="zh-CN"/>
        </w:rPr>
        <w:t>8.67</w:t>
      </w:r>
      <w:r>
        <w:rPr>
          <w:rStyle w:val="19"/>
          <w:rFonts w:ascii="仿宋_GB2312" w:hAnsi="宋体" w:eastAsia="仿宋_GB2312"/>
          <w:b w:val="0"/>
          <w:bCs w:val="0"/>
          <w:spacing w:val="-4"/>
          <w:sz w:val="28"/>
          <w:szCs w:val="28"/>
        </w:rPr>
        <w:t>%</w:t>
      </w:r>
      <w:r>
        <w:rPr>
          <w:rStyle w:val="19"/>
          <w:rFonts w:hint="eastAsia" w:ascii="仿宋_GB2312" w:hAnsi="楷体" w:eastAsia="仿宋_GB2312"/>
          <w:b w:val="0"/>
          <w:spacing w:val="-4"/>
          <w:sz w:val="28"/>
          <w:szCs w:val="28"/>
        </w:rPr>
        <w:t>，支出上升的主要原因是</w:t>
      </w:r>
      <w:r>
        <w:rPr>
          <w:rStyle w:val="19"/>
          <w:rFonts w:hint="eastAsia" w:ascii="仿宋_GB2312" w:hAnsi="楷体" w:eastAsia="仿宋_GB2312"/>
          <w:b w:val="0"/>
          <w:spacing w:val="-4"/>
          <w:sz w:val="28"/>
          <w:szCs w:val="28"/>
          <w:lang w:eastAsia="zh-CN"/>
        </w:rPr>
        <w:t>农村客运补贴力度增加</w:t>
      </w:r>
      <w:r>
        <w:rPr>
          <w:rStyle w:val="19"/>
          <w:rFonts w:ascii="仿宋_GB2312" w:hAnsi="楷体" w:eastAsia="仿宋_GB2312"/>
          <w:b w:val="0"/>
          <w:spacing w:val="-4"/>
          <w:sz w:val="28"/>
          <w:szCs w:val="28"/>
        </w:rPr>
        <w:t xml:space="preserve"> </w:t>
      </w:r>
      <w:r>
        <w:rPr>
          <w:rStyle w:val="19"/>
          <w:rFonts w:hint="eastAsia" w:ascii="仿宋_GB2312" w:hAnsi="楷体" w:eastAsia="仿宋_GB2312"/>
          <w:b w:val="0"/>
          <w:spacing w:val="-4"/>
          <w:sz w:val="28"/>
          <w:szCs w:val="28"/>
        </w:rPr>
        <w:t>。</w:t>
      </w:r>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年一般公共预算“三公”经费数为</w:t>
      </w:r>
      <w:r>
        <w:rPr>
          <w:rStyle w:val="19"/>
          <w:rFonts w:hint="eastAsia" w:ascii="仿宋_GB2312" w:hAnsi="楷体" w:eastAsia="仿宋_GB2312"/>
          <w:b w:val="0"/>
          <w:spacing w:val="-4"/>
          <w:sz w:val="28"/>
          <w:szCs w:val="28"/>
          <w:lang w:val="en-US" w:eastAsia="zh-CN"/>
        </w:rPr>
        <w:t>0.8</w:t>
      </w:r>
      <w:r>
        <w:rPr>
          <w:rStyle w:val="19"/>
          <w:rFonts w:hint="eastAsia" w:ascii="仿宋_GB2312" w:hAnsi="楷体" w:eastAsia="仿宋_GB2312"/>
          <w:b w:val="0"/>
          <w:spacing w:val="-4"/>
          <w:sz w:val="28"/>
          <w:szCs w:val="28"/>
        </w:rPr>
        <w:t xml:space="preserve">万元，其中：因公出国（境）费 </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万元，公务用车购置</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 xml:space="preserve">万元，公务用车运行费 </w:t>
      </w:r>
      <w:r>
        <w:rPr>
          <w:rStyle w:val="19"/>
          <w:rFonts w:hint="eastAsia" w:ascii="仿宋_GB2312" w:hAnsi="楷体" w:eastAsia="仿宋_GB2312"/>
          <w:b w:val="0"/>
          <w:spacing w:val="-4"/>
          <w:sz w:val="28"/>
          <w:szCs w:val="28"/>
          <w:lang w:val="en-US" w:eastAsia="zh-CN"/>
        </w:rPr>
        <w:t>0.8</w:t>
      </w:r>
      <w:r>
        <w:rPr>
          <w:rStyle w:val="19"/>
          <w:rFonts w:hint="eastAsia" w:ascii="仿宋_GB2312" w:hAnsi="楷体" w:eastAsia="仿宋_GB2312"/>
          <w:b w:val="0"/>
          <w:spacing w:val="-4"/>
          <w:sz w:val="28"/>
          <w:szCs w:val="28"/>
        </w:rPr>
        <w:t>万元，公务接待费</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pageBreakBefore w:val="0"/>
        <w:kinsoku/>
        <w:wordWrap/>
        <w:overflowPunct/>
        <w:topLinePunct w:val="0"/>
        <w:autoSpaceDE/>
        <w:autoSpaceDN/>
        <w:bidi w:val="0"/>
        <w:adjustRightInd/>
        <w:spacing w:line="560" w:lineRule="exact"/>
        <w:ind w:firstLine="579" w:firstLineChars="213"/>
        <w:jc w:val="left"/>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年一般公共预算“三公”经费比上年增加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万元，其中：因公出国（境）费增加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w:t>
      </w:r>
      <w:r>
        <w:rPr>
          <w:rStyle w:val="19"/>
          <w:rFonts w:hint="eastAsia" w:ascii="仿宋_GB2312" w:hAnsi="楷体" w:eastAsia="仿宋_GB2312"/>
          <w:b w:val="0"/>
          <w:spacing w:val="-4"/>
          <w:sz w:val="28"/>
          <w:szCs w:val="28"/>
          <w:lang w:eastAsia="zh-CN"/>
        </w:rPr>
        <w:t>未安排预算</w:t>
      </w:r>
      <w:r>
        <w:rPr>
          <w:rStyle w:val="19"/>
          <w:rFonts w:hint="eastAsia" w:ascii="仿宋_GB2312" w:hAnsi="楷体" w:eastAsia="仿宋_GB2312"/>
          <w:b w:val="0"/>
          <w:spacing w:val="-4"/>
          <w:sz w:val="28"/>
          <w:szCs w:val="28"/>
        </w:rPr>
        <w:t>；公务用车购置费为0，未安排预算；公务用车运行费增加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万元，主要原因是严格执行《党政机关厉行节约反对浪费条例》，从严控制一般性支出 ；公务接待费增加</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万元，主要原因是</w:t>
      </w:r>
      <w:r>
        <w:rPr>
          <w:rStyle w:val="19"/>
          <w:rFonts w:hint="eastAsia" w:ascii="仿宋_GB2312" w:hAnsi="楷体" w:eastAsia="仿宋_GB2312"/>
          <w:b w:val="0"/>
          <w:spacing w:val="-4"/>
          <w:sz w:val="28"/>
          <w:szCs w:val="28"/>
          <w:lang w:eastAsia="zh-CN"/>
        </w:rPr>
        <w:t>未安排预算</w:t>
      </w:r>
      <w:r>
        <w:rPr>
          <w:rStyle w:val="19"/>
          <w:rFonts w:hint="eastAsia" w:ascii="仿宋_GB2312" w:hAnsi="楷体" w:eastAsia="仿宋_GB2312"/>
          <w:b w:val="0"/>
          <w:spacing w:val="-4"/>
          <w:sz w:val="28"/>
          <w:szCs w:val="28"/>
        </w:rPr>
        <w:t>。</w:t>
      </w:r>
    </w:p>
    <w:p>
      <w:pPr>
        <w:pStyle w:val="5"/>
        <w:pageBreakBefore w:val="0"/>
        <w:kinsoku/>
        <w:wordWrap/>
        <w:overflowPunct/>
        <w:topLinePunct w:val="0"/>
        <w:autoSpaceDE/>
        <w:autoSpaceDN/>
        <w:bidi w:val="0"/>
        <w:adjustRightInd/>
        <w:spacing w:before="0" w:after="0" w:line="560" w:lineRule="exact"/>
        <w:ind w:firstLine="643" w:firstLineChars="200"/>
        <w:rPr>
          <w:rStyle w:val="19"/>
          <w:rFonts w:ascii="仿宋" w:hAnsi="仿宋" w:eastAsia="仿宋"/>
          <w:b/>
          <w:bCs/>
        </w:rPr>
      </w:pPr>
      <w:bookmarkStart w:id="14" w:name="_Toc70450302"/>
      <w:r>
        <w:rPr>
          <w:rStyle w:val="19"/>
          <w:rFonts w:hint="eastAsia" w:ascii="仿宋" w:hAnsi="仿宋" w:eastAsia="仿宋"/>
          <w:b/>
          <w:bCs/>
        </w:rPr>
        <w:t>（三）专项支出管理及使用情况</w:t>
      </w:r>
      <w:bookmarkEnd w:id="14"/>
    </w:p>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15" w:name="_Toc70450303"/>
      <w:r>
        <w:rPr>
          <w:rStyle w:val="19"/>
          <w:rFonts w:hint="eastAsia" w:ascii="仿宋" w:hAnsi="仿宋" w:eastAsia="仿宋"/>
          <w:b/>
          <w:bCs/>
        </w:rPr>
        <w:t>1、专项资金安排落实、总投入等情况分析</w:t>
      </w:r>
      <w:bookmarkEnd w:id="15"/>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年预算安排专项资金</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万元，实际到位</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w:t>
      </w:r>
      <w:r>
        <w:rPr>
          <w:rFonts w:hint="eastAsia"/>
        </w:rPr>
        <w:t xml:space="preserve"> </w:t>
      </w:r>
      <w:r>
        <w:rPr>
          <w:rStyle w:val="19"/>
          <w:rFonts w:hint="eastAsia" w:ascii="仿宋_GB2312" w:hAnsi="楷体" w:eastAsia="仿宋_GB2312"/>
          <w:b w:val="0"/>
          <w:spacing w:val="-4"/>
          <w:sz w:val="28"/>
          <w:szCs w:val="28"/>
        </w:rPr>
        <w:t>到位率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％,其中:中央转移支付项目资金</w:t>
      </w:r>
      <w:r>
        <w:rPr>
          <w:rStyle w:val="19"/>
          <w:rFonts w:hint="eastAsia" w:ascii="仿宋_GB2312" w:hAnsi="楷体" w:eastAsia="仿宋_GB2312"/>
          <w:b w:val="0"/>
          <w:spacing w:val="-4"/>
          <w:sz w:val="28"/>
          <w:szCs w:val="28"/>
          <w:lang w:val="en-US" w:eastAsia="zh-CN"/>
        </w:rPr>
        <w:t>18350.63</w:t>
      </w:r>
      <w:r>
        <w:rPr>
          <w:rStyle w:val="19"/>
          <w:rFonts w:hint="eastAsia" w:ascii="仿宋_GB2312" w:hAnsi="楷体" w:eastAsia="仿宋_GB2312"/>
          <w:b w:val="0"/>
          <w:spacing w:val="-4"/>
          <w:sz w:val="28"/>
          <w:szCs w:val="28"/>
        </w:rPr>
        <w:t>万元，自治区资金</w:t>
      </w:r>
      <w:r>
        <w:rPr>
          <w:rStyle w:val="19"/>
          <w:rFonts w:hint="eastAsia" w:ascii="仿宋_GB2312" w:hAnsi="楷体" w:eastAsia="仿宋_GB2312"/>
          <w:b w:val="0"/>
          <w:spacing w:val="-4"/>
          <w:sz w:val="28"/>
          <w:szCs w:val="28"/>
          <w:lang w:val="en-US" w:eastAsia="zh-CN"/>
        </w:rPr>
        <w:t>8700</w:t>
      </w:r>
      <w:r>
        <w:rPr>
          <w:rStyle w:val="19"/>
          <w:rFonts w:hint="eastAsia" w:ascii="仿宋_GB2312" w:hAnsi="楷体" w:eastAsia="仿宋_GB2312"/>
          <w:b w:val="0"/>
          <w:spacing w:val="-4"/>
          <w:sz w:val="28"/>
          <w:szCs w:val="28"/>
        </w:rPr>
        <w:t>万元，本级安排</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w:t>
      </w:r>
    </w:p>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16" w:name="_Toc70450304"/>
      <w:r>
        <w:rPr>
          <w:rStyle w:val="19"/>
          <w:rFonts w:hint="eastAsia" w:ascii="仿宋" w:hAnsi="仿宋" w:eastAsia="仿宋"/>
          <w:b/>
          <w:bCs/>
        </w:rPr>
        <w:t>2、专项资金实际使用情况</w:t>
      </w:r>
      <w:bookmarkEnd w:id="16"/>
    </w:p>
    <w:p>
      <w:pPr>
        <w:pStyle w:val="15"/>
        <w:pageBreakBefore w:val="0"/>
        <w:widowControl/>
        <w:kinsoku/>
        <w:wordWrap/>
        <w:overflowPunct/>
        <w:topLinePunct w:val="0"/>
        <w:autoSpaceDE/>
        <w:autoSpaceDN/>
        <w:bidi w:val="0"/>
        <w:adjustRightInd/>
        <w:spacing w:before="0" w:beforeAutospacing="0" w:after="0" w:afterAutospacing="0" w:line="560" w:lineRule="exact"/>
        <w:ind w:firstLine="520"/>
        <w:jc w:val="both"/>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highlight w:val="none"/>
        </w:rPr>
        <w:t>2021年专项资金支出</w:t>
      </w:r>
      <w:r>
        <w:rPr>
          <w:rStyle w:val="19"/>
          <w:rFonts w:hint="eastAsia" w:ascii="仿宋_GB2312" w:hAnsi="楷体" w:eastAsia="仿宋_GB2312"/>
          <w:b w:val="0"/>
          <w:spacing w:val="-4"/>
          <w:sz w:val="28"/>
          <w:szCs w:val="28"/>
          <w:highlight w:val="none"/>
          <w:lang w:val="en-US" w:eastAsia="zh-CN"/>
        </w:rPr>
        <w:t>27050.63</w:t>
      </w:r>
      <w:r>
        <w:rPr>
          <w:rStyle w:val="19"/>
          <w:rFonts w:hint="eastAsia" w:ascii="仿宋_GB2312" w:hAnsi="楷体" w:eastAsia="仿宋_GB2312"/>
          <w:b w:val="0"/>
          <w:spacing w:val="-4"/>
          <w:sz w:val="28"/>
          <w:szCs w:val="28"/>
          <w:highlight w:val="none"/>
        </w:rPr>
        <w:t xml:space="preserve"> 万元，占总支出的</w:t>
      </w:r>
      <w:r>
        <w:rPr>
          <w:rStyle w:val="19"/>
          <w:rFonts w:hint="eastAsia" w:ascii="仿宋_GB2312" w:hAnsi="楷体" w:eastAsia="仿宋_GB2312"/>
          <w:b w:val="0"/>
          <w:spacing w:val="-4"/>
          <w:sz w:val="28"/>
          <w:szCs w:val="28"/>
          <w:highlight w:val="none"/>
          <w:lang w:val="en-US" w:eastAsia="zh-CN"/>
        </w:rPr>
        <w:t>96.22</w:t>
      </w:r>
      <w:r>
        <w:rPr>
          <w:rStyle w:val="19"/>
          <w:rFonts w:hint="eastAsia" w:ascii="仿宋_GB2312" w:hAnsi="楷体" w:eastAsia="仿宋_GB2312"/>
          <w:b w:val="0"/>
          <w:spacing w:val="-4"/>
          <w:sz w:val="28"/>
          <w:szCs w:val="28"/>
          <w:highlight w:val="none"/>
        </w:rPr>
        <w:t>%，其中2021年专项项目支出比上年17756.99 万元增</w:t>
      </w:r>
      <w:r>
        <w:rPr>
          <w:rStyle w:val="19"/>
          <w:rFonts w:hint="eastAsia" w:ascii="仿宋_GB2312" w:hAnsi="楷体" w:eastAsia="仿宋_GB2312"/>
          <w:b w:val="0"/>
          <w:spacing w:val="-4"/>
          <w:sz w:val="28"/>
          <w:szCs w:val="28"/>
        </w:rPr>
        <w:t>加</w:t>
      </w:r>
      <w:r>
        <w:rPr>
          <w:rStyle w:val="19"/>
          <w:rFonts w:hint="eastAsia" w:ascii="仿宋_GB2312" w:hAnsi="楷体" w:eastAsia="仿宋_GB2312"/>
          <w:b w:val="0"/>
          <w:spacing w:val="-4"/>
          <w:sz w:val="28"/>
          <w:szCs w:val="28"/>
          <w:lang w:val="en-US" w:eastAsia="zh-CN"/>
        </w:rPr>
        <w:t>9293.64</w:t>
      </w:r>
      <w:r>
        <w:rPr>
          <w:rStyle w:val="19"/>
          <w:rFonts w:hint="eastAsia" w:ascii="仿宋_GB2312" w:hAnsi="楷体" w:eastAsia="仿宋_GB2312"/>
          <w:b w:val="0"/>
          <w:spacing w:val="-4"/>
          <w:sz w:val="28"/>
          <w:szCs w:val="28"/>
        </w:rPr>
        <w:t xml:space="preserve">万元，上升 </w:t>
      </w:r>
      <w:r>
        <w:rPr>
          <w:rStyle w:val="19"/>
          <w:rFonts w:hint="eastAsia" w:ascii="仿宋_GB2312" w:hAnsi="楷体" w:eastAsia="仿宋_GB2312"/>
          <w:b w:val="0"/>
          <w:spacing w:val="-4"/>
          <w:sz w:val="28"/>
          <w:szCs w:val="28"/>
          <w:lang w:val="en-US" w:eastAsia="zh-CN"/>
        </w:rPr>
        <w:t>52.34</w:t>
      </w:r>
      <w:r>
        <w:rPr>
          <w:rStyle w:val="19"/>
          <w:rFonts w:hint="eastAsia" w:ascii="仿宋_GB2312" w:hAnsi="楷体" w:eastAsia="仿宋_GB2312"/>
          <w:b w:val="0"/>
          <w:spacing w:val="-4"/>
          <w:sz w:val="28"/>
          <w:szCs w:val="28"/>
        </w:rPr>
        <w:t>%。支出上升的主要原因是 提升建档立卡贫困户的生产生活水平，完善基础设施，改善贫困村容居住环境，解决村民出行困难问题。其中：</w:t>
      </w:r>
      <w:r>
        <w:rPr>
          <w:rStyle w:val="19"/>
          <w:rFonts w:hint="eastAsia" w:ascii="仿宋_GB2312" w:hAnsi="楷体" w:eastAsia="仿宋_GB2312"/>
          <w:b w:val="0"/>
          <w:spacing w:val="-4"/>
          <w:sz w:val="28"/>
          <w:szCs w:val="28"/>
          <w:lang w:eastAsia="zh-CN"/>
        </w:rPr>
        <w:t>伊犁州特克斯县</w:t>
      </w:r>
      <w:r>
        <w:rPr>
          <w:rStyle w:val="19"/>
          <w:rFonts w:hint="eastAsia" w:ascii="仿宋_GB2312" w:hAnsi="楷体" w:eastAsia="仿宋_GB2312"/>
          <w:b w:val="0"/>
          <w:spacing w:val="-4"/>
          <w:sz w:val="28"/>
          <w:szCs w:val="28"/>
          <w:lang w:val="en-US" w:eastAsia="zh-CN"/>
        </w:rPr>
        <w:t>2021年村组道路建设</w:t>
      </w:r>
      <w:r>
        <w:rPr>
          <w:rStyle w:val="19"/>
          <w:rFonts w:hint="eastAsia" w:ascii="仿宋_GB2312" w:hAnsi="楷体" w:eastAsia="仿宋_GB2312"/>
          <w:b w:val="0"/>
          <w:spacing w:val="-4"/>
          <w:sz w:val="28"/>
          <w:szCs w:val="28"/>
        </w:rPr>
        <w:t xml:space="preserve">项目安排 </w:t>
      </w:r>
      <w:r>
        <w:rPr>
          <w:rStyle w:val="19"/>
          <w:rFonts w:hint="eastAsia" w:ascii="仿宋_GB2312" w:hAnsi="楷体" w:eastAsia="仿宋_GB2312"/>
          <w:b w:val="0"/>
          <w:spacing w:val="-4"/>
          <w:sz w:val="28"/>
          <w:szCs w:val="28"/>
          <w:lang w:val="en-US" w:eastAsia="zh-CN"/>
        </w:rPr>
        <w:t>8700</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2020年财政专项扶贫资金项目质保金项目</w:t>
      </w:r>
      <w:r>
        <w:rPr>
          <w:rStyle w:val="19"/>
          <w:rFonts w:hint="eastAsia" w:ascii="仿宋_GB2312" w:hAnsi="楷体" w:eastAsia="仿宋_GB2312"/>
          <w:b w:val="0"/>
          <w:spacing w:val="-4"/>
          <w:sz w:val="28"/>
          <w:szCs w:val="28"/>
        </w:rPr>
        <w:t>安排</w:t>
      </w:r>
      <w:r>
        <w:rPr>
          <w:rStyle w:val="19"/>
          <w:rFonts w:hint="eastAsia" w:ascii="仿宋_GB2312" w:hAnsi="楷体" w:eastAsia="仿宋_GB2312"/>
          <w:b w:val="0"/>
          <w:spacing w:val="-4"/>
          <w:sz w:val="28"/>
          <w:szCs w:val="28"/>
          <w:lang w:val="en-US" w:eastAsia="zh-CN"/>
        </w:rPr>
        <w:t>75</w:t>
      </w:r>
      <w:r>
        <w:rPr>
          <w:rStyle w:val="19"/>
          <w:rFonts w:hint="eastAsia" w:ascii="仿宋_GB2312" w:hAnsi="楷体" w:eastAsia="仿宋_GB2312"/>
          <w:b w:val="0"/>
          <w:spacing w:val="-4"/>
          <w:sz w:val="28"/>
          <w:szCs w:val="28"/>
        </w:rPr>
        <w:t>万元</w:t>
      </w:r>
      <w:r>
        <w:rPr>
          <w:rStyle w:val="19"/>
          <w:rFonts w:hint="eastAsia" w:ascii="仿宋_GB2312" w:hAnsi="楷体" w:eastAsia="仿宋_GB2312"/>
          <w:b w:val="0"/>
          <w:spacing w:val="-4"/>
          <w:sz w:val="28"/>
          <w:szCs w:val="28"/>
          <w:lang w:eastAsia="zh-CN"/>
        </w:rPr>
        <w:t>；喀拉托海镇达根别勒村村组道路建设项目</w:t>
      </w:r>
      <w:r>
        <w:rPr>
          <w:rStyle w:val="19"/>
          <w:rFonts w:hint="eastAsia" w:ascii="仿宋_GB2312" w:hAnsi="楷体" w:eastAsia="仿宋_GB2312"/>
          <w:b w:val="0"/>
          <w:spacing w:val="-4"/>
          <w:sz w:val="28"/>
          <w:szCs w:val="28"/>
          <w:lang w:val="en-US" w:eastAsia="zh-CN"/>
        </w:rPr>
        <w:t>安排1000万元；伊犁州特克斯县喀甫萨朗主干道建设项目安排196.17万元；</w:t>
      </w:r>
      <w:r>
        <w:rPr>
          <w:rStyle w:val="19"/>
          <w:rFonts w:hint="eastAsia" w:ascii="仿宋_GB2312" w:hAnsi="楷体" w:eastAsia="仿宋_GB2312"/>
          <w:b w:val="0"/>
          <w:spacing w:val="-4"/>
          <w:sz w:val="28"/>
          <w:szCs w:val="28"/>
          <w:highlight w:val="none"/>
          <w:lang w:val="en-US" w:eastAsia="zh-CN"/>
        </w:rPr>
        <w:t>喀拉托海镇达根别勒村村组道路建设项目安排526.29万元；特克斯县八卦城喀拉峻旅游基础设施建设及旅游服务设施建设项目安排183.89万元；车辆购置税用于2020公路等基础设施建设支出项目安排1369.28；伊犁州特克斯县中天山旅游景区琼库什台生态旅游基础设施建设项目安排15000万元。</w:t>
      </w:r>
    </w:p>
    <w:p>
      <w:pPr>
        <w:pStyle w:val="6"/>
        <w:pageBreakBefore w:val="0"/>
        <w:kinsoku/>
        <w:wordWrap/>
        <w:overflowPunct/>
        <w:topLinePunct w:val="0"/>
        <w:autoSpaceDE/>
        <w:autoSpaceDN/>
        <w:bidi w:val="0"/>
        <w:adjustRightInd/>
        <w:spacing w:before="0" w:after="0" w:line="560" w:lineRule="exact"/>
        <w:ind w:firstLine="562" w:firstLineChars="200"/>
        <w:rPr>
          <w:rStyle w:val="19"/>
          <w:rFonts w:ascii="仿宋" w:hAnsi="仿宋" w:eastAsia="仿宋"/>
          <w:b/>
          <w:bCs/>
        </w:rPr>
      </w:pPr>
      <w:bookmarkStart w:id="17" w:name="_Toc70450305"/>
      <w:r>
        <w:rPr>
          <w:rStyle w:val="19"/>
          <w:rFonts w:hint="eastAsia" w:ascii="仿宋" w:hAnsi="仿宋" w:eastAsia="仿宋"/>
          <w:b/>
          <w:bCs/>
        </w:rPr>
        <w:t>3、专项资金管理情况</w:t>
      </w:r>
      <w:bookmarkEnd w:id="17"/>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为规范专项资金使用，提高专项资金使用效益，我单位主要采取四项措施。</w:t>
      </w:r>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（1）制定了《</w:t>
      </w:r>
      <w:r>
        <w:rPr>
          <w:rStyle w:val="19"/>
          <w:rFonts w:hint="eastAsia" w:ascii="仿宋_GB2312" w:hAnsi="楷体" w:eastAsia="仿宋_GB2312"/>
          <w:b w:val="0"/>
          <w:spacing w:val="-4"/>
          <w:sz w:val="28"/>
          <w:szCs w:val="28"/>
          <w:lang w:eastAsia="zh-CN"/>
        </w:rPr>
        <w:t>特克斯县交通运输局专项资金管理办法</w:t>
      </w:r>
      <w:r>
        <w:rPr>
          <w:rStyle w:val="19"/>
          <w:rFonts w:hint="eastAsia" w:ascii="仿宋_GB2312" w:hAnsi="楷体" w:eastAsia="仿宋_GB2312"/>
          <w:b w:val="0"/>
          <w:spacing w:val="-4"/>
          <w:sz w:val="28"/>
          <w:szCs w:val="28"/>
        </w:rPr>
        <w:t>》，各项资金使用审批流程均按规定办理。涉及“三重一大”内容，严格按照规定提请局党组会审议决定，包括项目资金分配、重大项目确定、大额资金支付等。</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highlight w:val="none"/>
        </w:rPr>
        <w:t>（</w:t>
      </w:r>
      <w:r>
        <w:rPr>
          <w:rStyle w:val="19"/>
          <w:rFonts w:ascii="仿宋_GB2312" w:hAnsi="楷体" w:eastAsia="仿宋_GB2312"/>
          <w:b w:val="0"/>
          <w:spacing w:val="-4"/>
          <w:sz w:val="28"/>
          <w:szCs w:val="28"/>
          <w:highlight w:val="none"/>
        </w:rPr>
        <w:t>2</w:t>
      </w:r>
      <w:r>
        <w:rPr>
          <w:rStyle w:val="19"/>
          <w:rFonts w:hint="eastAsia" w:ascii="仿宋_GB2312" w:hAnsi="楷体" w:eastAsia="仿宋_GB2312"/>
          <w:b w:val="0"/>
          <w:spacing w:val="-4"/>
          <w:sz w:val="28"/>
          <w:szCs w:val="28"/>
          <w:highlight w:val="none"/>
        </w:rPr>
        <w:t>）建立</w:t>
      </w:r>
      <w:r>
        <w:rPr>
          <w:rStyle w:val="19"/>
          <w:rFonts w:hint="eastAsia" w:ascii="仿宋_GB2312" w:hAnsi="楷体" w:eastAsia="仿宋_GB2312"/>
          <w:b w:val="0"/>
          <w:spacing w:val="-4"/>
          <w:sz w:val="28"/>
          <w:szCs w:val="28"/>
          <w:highlight w:val="none"/>
          <w:lang w:val="en-US" w:eastAsia="zh-CN"/>
        </w:rPr>
        <w:t>交通运输基础设施建设</w:t>
      </w:r>
      <w:r>
        <w:rPr>
          <w:rStyle w:val="19"/>
          <w:rFonts w:hint="eastAsia" w:ascii="仿宋_GB2312" w:hAnsi="楷体" w:eastAsia="仿宋_GB2312"/>
          <w:b w:val="0"/>
          <w:spacing w:val="-4"/>
          <w:sz w:val="28"/>
          <w:szCs w:val="28"/>
          <w:highlight w:val="none"/>
        </w:rPr>
        <w:t>专项资金专帐，做到有据可依，有据可查。</w:t>
      </w:r>
    </w:p>
    <w:p>
      <w:pPr>
        <w:pageBreakBefore w:val="0"/>
        <w:kinsoku/>
        <w:wordWrap/>
        <w:overflowPunct/>
        <w:topLinePunct w:val="0"/>
        <w:autoSpaceDE/>
        <w:autoSpaceDN/>
        <w:bidi w:val="0"/>
        <w:adjustRightInd/>
        <w:spacing w:line="560" w:lineRule="exact"/>
        <w:ind w:firstLine="492" w:firstLineChars="181"/>
        <w:rPr>
          <w:rStyle w:val="19"/>
          <w:rFonts w:hint="default"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lang w:val="en-US" w:eastAsia="zh-CN"/>
        </w:rPr>
        <w:t>为规范我局财政专项资金管理，保证专项资金受控并合规使用，我局优化调整了财政内控领导小组，强化</w:t>
      </w:r>
      <w:r>
        <w:rPr>
          <w:rStyle w:val="19"/>
          <w:rFonts w:hint="eastAsia" w:ascii="仿宋_GB2312" w:hAnsi="楷体" w:eastAsia="仿宋_GB2312"/>
          <w:b w:val="0"/>
          <w:spacing w:val="-4"/>
          <w:sz w:val="28"/>
          <w:szCs w:val="28"/>
        </w:rPr>
        <w:t>宣传教育，增强专款专用意识，</w:t>
      </w:r>
      <w:r>
        <w:rPr>
          <w:rStyle w:val="19"/>
          <w:rFonts w:hint="eastAsia" w:ascii="仿宋_GB2312" w:hAnsi="楷体" w:eastAsia="仿宋_GB2312"/>
          <w:b w:val="0"/>
          <w:spacing w:val="-4"/>
          <w:sz w:val="28"/>
          <w:szCs w:val="28"/>
          <w:lang w:val="en-US" w:eastAsia="zh-CN"/>
        </w:rPr>
        <w:t>建立</w:t>
      </w:r>
      <w:r>
        <w:rPr>
          <w:rStyle w:val="19"/>
          <w:rFonts w:hint="eastAsia" w:ascii="仿宋_GB2312" w:hAnsi="楷体" w:eastAsia="仿宋_GB2312"/>
          <w:b w:val="0"/>
          <w:spacing w:val="-4"/>
          <w:sz w:val="28"/>
          <w:szCs w:val="28"/>
        </w:rPr>
        <w:t>健全</w:t>
      </w:r>
      <w:r>
        <w:rPr>
          <w:rStyle w:val="19"/>
          <w:rFonts w:hint="eastAsia" w:ascii="仿宋_GB2312" w:hAnsi="楷体" w:eastAsia="仿宋_GB2312"/>
          <w:b w:val="0"/>
          <w:spacing w:val="-4"/>
          <w:sz w:val="28"/>
          <w:szCs w:val="28"/>
          <w:lang w:val="en-US" w:eastAsia="zh-CN"/>
        </w:rPr>
        <w:t>各项</w:t>
      </w:r>
      <w:r>
        <w:rPr>
          <w:rStyle w:val="19"/>
          <w:rFonts w:hint="eastAsia" w:ascii="仿宋_GB2312" w:hAnsi="楷体" w:eastAsia="仿宋_GB2312"/>
          <w:b w:val="0"/>
          <w:spacing w:val="-4"/>
          <w:sz w:val="28"/>
          <w:szCs w:val="28"/>
        </w:rPr>
        <w:t>制度，搞好堵漏防范，增强法制观念，切实加强对专项资金的管理和监督，杜绝各种违法违纪行为的发生。</w:t>
      </w:r>
      <w:r>
        <w:rPr>
          <w:rStyle w:val="19"/>
          <w:rFonts w:hint="eastAsia" w:ascii="仿宋_GB2312" w:hAnsi="楷体" w:eastAsia="仿宋_GB2312"/>
          <w:b w:val="0"/>
          <w:spacing w:val="-4"/>
          <w:sz w:val="28"/>
          <w:szCs w:val="28"/>
          <w:lang w:val="en-US" w:eastAsia="zh-CN"/>
        </w:rPr>
        <w:t>一是</w:t>
      </w:r>
      <w:r>
        <w:rPr>
          <w:rStyle w:val="19"/>
          <w:rFonts w:hint="eastAsia" w:ascii="仿宋_GB2312" w:hAnsi="楷体" w:eastAsia="仿宋_GB2312"/>
          <w:b w:val="0"/>
          <w:spacing w:val="-4"/>
          <w:sz w:val="28"/>
          <w:szCs w:val="28"/>
        </w:rPr>
        <w:t>对各专项资金分别建立专账，或由财政部门指定，单独核算，单独开支，单独建账，专款专用，划清与</w:t>
      </w:r>
      <w:r>
        <w:rPr>
          <w:rStyle w:val="19"/>
          <w:rFonts w:hint="eastAsia" w:ascii="仿宋_GB2312" w:hAnsi="楷体" w:eastAsia="仿宋_GB2312"/>
          <w:b w:val="0"/>
          <w:spacing w:val="-4"/>
          <w:sz w:val="28"/>
          <w:szCs w:val="28"/>
          <w:lang w:val="en-US" w:eastAsia="zh-CN"/>
        </w:rPr>
        <w:t>其他</w:t>
      </w:r>
      <w:r>
        <w:rPr>
          <w:rStyle w:val="19"/>
          <w:rFonts w:hint="eastAsia" w:ascii="仿宋_GB2312" w:hAnsi="楷体" w:eastAsia="仿宋_GB2312"/>
          <w:b w:val="0"/>
          <w:spacing w:val="-4"/>
          <w:sz w:val="28"/>
          <w:szCs w:val="28"/>
        </w:rPr>
        <w:t>管理资金的界限。</w:t>
      </w:r>
      <w:r>
        <w:rPr>
          <w:rStyle w:val="19"/>
          <w:rFonts w:hint="eastAsia" w:ascii="仿宋_GB2312" w:hAnsi="楷体" w:eastAsia="仿宋_GB2312"/>
          <w:b w:val="0"/>
          <w:spacing w:val="-4"/>
          <w:sz w:val="28"/>
          <w:szCs w:val="28"/>
          <w:lang w:val="en-US" w:eastAsia="zh-CN"/>
        </w:rPr>
        <w:t>二是</w:t>
      </w:r>
      <w:r>
        <w:rPr>
          <w:rStyle w:val="19"/>
          <w:rFonts w:hint="eastAsia" w:ascii="仿宋_GB2312" w:hAnsi="楷体" w:eastAsia="仿宋_GB2312"/>
          <w:b w:val="0"/>
          <w:spacing w:val="-4"/>
          <w:sz w:val="28"/>
          <w:szCs w:val="28"/>
        </w:rPr>
        <w:t>严格按项目批复计划的内容、规模、标准使用</w:t>
      </w:r>
      <w:r>
        <w:rPr>
          <w:rStyle w:val="19"/>
          <w:rFonts w:hint="eastAsia" w:ascii="仿宋_GB2312" w:hAnsi="楷体" w:eastAsia="仿宋_GB2312"/>
          <w:b w:val="0"/>
          <w:spacing w:val="-4"/>
          <w:sz w:val="28"/>
          <w:szCs w:val="28"/>
          <w:lang w:eastAsia="zh-CN"/>
        </w:rPr>
        <w:t>。</w:t>
      </w:r>
      <w:r>
        <w:rPr>
          <w:rStyle w:val="19"/>
          <w:rFonts w:hint="eastAsia" w:ascii="仿宋_GB2312" w:hAnsi="楷体" w:eastAsia="仿宋_GB2312"/>
          <w:b w:val="0"/>
          <w:spacing w:val="-4"/>
          <w:sz w:val="28"/>
          <w:szCs w:val="28"/>
          <w:lang w:val="en-US" w:eastAsia="zh-CN"/>
        </w:rPr>
        <w:t>并对项目全过程收集和建立档案资料。</w:t>
      </w:r>
    </w:p>
    <w:p>
      <w:pPr>
        <w:pStyle w:val="8"/>
        <w:keepNext w:val="0"/>
        <w:keepLines w:val="0"/>
        <w:pageBreakBefore w:val="0"/>
        <w:widowControl w:val="0"/>
        <w:numPr>
          <w:ilvl w:val="0"/>
          <w:numId w:val="0"/>
        </w:numPr>
        <w:shd w:val="clear"/>
        <w:kinsoku/>
        <w:wordWrap/>
        <w:overflowPunct/>
        <w:topLinePunct w:val="0"/>
        <w:autoSpaceDE/>
        <w:autoSpaceDN/>
        <w:bidi w:val="0"/>
        <w:adjustRightInd w:val="0"/>
        <w:snapToGrid/>
        <w:spacing w:after="0" w:afterLines="0" w:line="540" w:lineRule="exact"/>
        <w:ind w:firstLine="544" w:firstLineChars="200"/>
        <w:jc w:val="both"/>
        <w:textAlignment w:val="auto"/>
        <w:rPr>
          <w:rStyle w:val="19"/>
          <w:rFonts w:hint="eastAsia" w:ascii="仿宋_GB2312" w:hAnsi="楷体" w:eastAsia="仿宋_GB2312" w:cstheme="minorBidi"/>
          <w:b w:val="0"/>
          <w:spacing w:val="-4"/>
          <w:kern w:val="2"/>
          <w:sz w:val="28"/>
          <w:szCs w:val="28"/>
          <w:lang w:val="en-US" w:eastAsia="zh-CN" w:bidi="ar-SA"/>
        </w:rPr>
      </w:pPr>
      <w:r>
        <w:rPr>
          <w:rStyle w:val="19"/>
          <w:rFonts w:hint="eastAsia" w:ascii="仿宋_GB2312" w:hAnsi="楷体" w:eastAsia="仿宋_GB2312" w:cstheme="minorBidi"/>
          <w:b w:val="0"/>
          <w:spacing w:val="-4"/>
          <w:kern w:val="2"/>
          <w:sz w:val="28"/>
          <w:szCs w:val="28"/>
          <w:lang w:val="en-US" w:eastAsia="zh-CN" w:bidi="ar-SA"/>
        </w:rPr>
        <w:t>（3）制订了2021年度交通运输基础设施建设项目实施方案，确保乡村振兴一般债券项目、车购税资金项目、中天山旅游景区琼库什台生态旅游基础设施建设等项目的顺利实施。</w:t>
      </w:r>
    </w:p>
    <w:p>
      <w:pPr>
        <w:bidi w:val="0"/>
        <w:ind w:firstLine="544" w:firstLineChars="200"/>
        <w:rPr>
          <w:rStyle w:val="19"/>
          <w:rFonts w:hint="eastAsia" w:ascii="仿宋_GB2312" w:hAnsi="楷体" w:eastAsia="仿宋_GB2312" w:cstheme="minorBidi"/>
          <w:b w:val="0"/>
          <w:spacing w:val="-4"/>
          <w:kern w:val="2"/>
          <w:sz w:val="28"/>
          <w:szCs w:val="28"/>
          <w:lang w:val="en-US" w:eastAsia="zh-CN" w:bidi="ar-SA"/>
        </w:rPr>
      </w:pPr>
      <w:r>
        <w:rPr>
          <w:rStyle w:val="19"/>
          <w:rFonts w:hint="eastAsia" w:ascii="仿宋_GB2312" w:hAnsi="楷体" w:eastAsia="仿宋_GB2312" w:cstheme="minorBidi"/>
          <w:b w:val="0"/>
          <w:spacing w:val="-4"/>
          <w:kern w:val="2"/>
          <w:sz w:val="28"/>
          <w:szCs w:val="28"/>
          <w:lang w:val="en-US" w:eastAsia="zh-CN" w:bidi="ar-SA"/>
        </w:rPr>
        <w:t>（4）认真组织交通运输基础设施建设乡村振兴一般债券项目、车购税资金项目、中天山旅游景区琼库什台生态旅游基础设施建设等项目验收，专项资金涉及政府采购项目的，按照局《政府采购与招标管理办法》组织人员制定采购计划，按照财政局采购部门批复，进行公开招标、邀请招标等方式进行，将验收</w:t>
      </w:r>
      <w:r>
        <w:rPr>
          <w:rStyle w:val="19"/>
          <w:rFonts w:hint="default" w:ascii="仿宋_GB2312" w:hAnsi="楷体" w:eastAsia="仿宋_GB2312" w:cstheme="minorBidi"/>
          <w:b w:val="0"/>
          <w:spacing w:val="-4"/>
          <w:kern w:val="2"/>
          <w:sz w:val="28"/>
          <w:szCs w:val="28"/>
          <w:lang w:val="en-US" w:eastAsia="zh-CN" w:bidi="ar-SA"/>
        </w:rPr>
        <w:t>工作贯穿项目始终,</w:t>
      </w:r>
      <w:r>
        <w:rPr>
          <w:rStyle w:val="19"/>
          <w:rFonts w:hint="default" w:ascii="仿宋_GB2312" w:hAnsi="楷体" w:eastAsia="仿宋_GB2312" w:cstheme="minorBidi"/>
          <w:b w:val="0"/>
          <w:spacing w:val="-4"/>
          <w:kern w:val="2"/>
          <w:sz w:val="28"/>
          <w:szCs w:val="28"/>
          <w:lang w:val="en-US" w:eastAsia="zh-CN" w:bidi="ar-SA"/>
        </w:rPr>
        <w:fldChar w:fldCharType="begin"/>
      </w:r>
      <w:r>
        <w:rPr>
          <w:rStyle w:val="19"/>
          <w:rFonts w:hint="default" w:ascii="仿宋_GB2312" w:hAnsi="楷体" w:eastAsia="仿宋_GB2312" w:cstheme="minorBidi"/>
          <w:b w:val="0"/>
          <w:spacing w:val="-4"/>
          <w:kern w:val="2"/>
          <w:sz w:val="28"/>
          <w:szCs w:val="28"/>
          <w:lang w:val="en-US" w:eastAsia="zh-CN" w:bidi="ar-SA"/>
        </w:rPr>
        <w:instrText xml:space="preserve"> HYPERLINK "https://www.so.com/link?m=bem2P1ABbgWmRbWF76ItGgx63sS/ZKp419Q6ZBRhYUFv9YZ2ZEX9Rqe36AHACyyDHtQCax973w/ZRT9af5Biv+Q6thZapUCHhmRR6wiuufsMG964qivm+d+dceRvTW2WFwEyanIUogoYbkkvMwBhWPpBkozY2yK404X0/uV3W3juLyb17OC/bBUS+cXPlKXcGkqL2s1SGlpniZAmpDN8dn2HyGtrPgEzlu+2QL1LlWKkFV3P3fL8M7fySzZC3gSEZQ63SYk1knj7Y/fPa2Gr0Nwqq6Mk=" \t "https://www.so.com/_blank" </w:instrText>
      </w:r>
      <w:r>
        <w:rPr>
          <w:rStyle w:val="19"/>
          <w:rFonts w:hint="default" w:ascii="仿宋_GB2312" w:hAnsi="楷体" w:eastAsia="仿宋_GB2312" w:cstheme="minorBidi"/>
          <w:b w:val="0"/>
          <w:spacing w:val="-4"/>
          <w:kern w:val="2"/>
          <w:sz w:val="28"/>
          <w:szCs w:val="28"/>
          <w:lang w:val="en-US" w:eastAsia="zh-CN" w:bidi="ar-SA"/>
        </w:rPr>
        <w:fldChar w:fldCharType="separate"/>
      </w:r>
      <w:r>
        <w:rPr>
          <w:rStyle w:val="19"/>
          <w:rFonts w:hint="default" w:ascii="仿宋_GB2312" w:hAnsi="楷体" w:eastAsia="仿宋_GB2312" w:cstheme="minorBidi"/>
          <w:b w:val="0"/>
          <w:spacing w:val="-4"/>
          <w:kern w:val="2"/>
          <w:sz w:val="28"/>
          <w:szCs w:val="28"/>
          <w:lang w:val="en-US" w:eastAsia="zh-CN" w:bidi="ar-SA"/>
        </w:rPr>
        <w:t>确保项目顺利收尾</w:t>
      </w:r>
      <w:r>
        <w:rPr>
          <w:rStyle w:val="19"/>
          <w:rFonts w:hint="default" w:ascii="仿宋_GB2312" w:hAnsi="楷体" w:eastAsia="仿宋_GB2312" w:cstheme="minorBidi"/>
          <w:b w:val="0"/>
          <w:spacing w:val="-4"/>
          <w:kern w:val="2"/>
          <w:sz w:val="28"/>
          <w:szCs w:val="28"/>
          <w:lang w:val="en-US" w:eastAsia="zh-CN" w:bidi="ar-SA"/>
        </w:rPr>
        <w:fldChar w:fldCharType="end"/>
      </w:r>
      <w:r>
        <w:rPr>
          <w:rStyle w:val="19"/>
          <w:rFonts w:hint="eastAsia" w:ascii="仿宋_GB2312" w:hAnsi="楷体" w:eastAsia="仿宋_GB2312" w:cstheme="minorBidi"/>
          <w:b w:val="0"/>
          <w:spacing w:val="-4"/>
          <w:kern w:val="2"/>
          <w:sz w:val="28"/>
          <w:szCs w:val="28"/>
          <w:lang w:val="en-US" w:eastAsia="zh-CN" w:bidi="ar-SA"/>
        </w:rPr>
        <w:t>。</w:t>
      </w:r>
    </w:p>
    <w:p>
      <w:pPr>
        <w:pStyle w:val="4"/>
        <w:pageBreakBefore w:val="0"/>
        <w:kinsoku/>
        <w:wordWrap/>
        <w:overflowPunct/>
        <w:topLinePunct w:val="0"/>
        <w:autoSpaceDE/>
        <w:autoSpaceDN/>
        <w:bidi w:val="0"/>
        <w:adjustRightInd/>
        <w:spacing w:before="0" w:after="0" w:line="560" w:lineRule="exact"/>
        <w:ind w:firstLine="723" w:firstLineChars="200"/>
        <w:rPr>
          <w:rFonts w:ascii="仿宋" w:hAnsi="仿宋" w:eastAsia="仿宋"/>
          <w:sz w:val="36"/>
          <w:szCs w:val="36"/>
          <w:lang w:bidi="ar"/>
        </w:rPr>
      </w:pPr>
      <w:bookmarkStart w:id="18" w:name="_Toc70450306"/>
      <w:r>
        <w:rPr>
          <w:rFonts w:hint="eastAsia" w:ascii="仿宋" w:hAnsi="仿宋" w:eastAsia="仿宋"/>
          <w:sz w:val="36"/>
          <w:szCs w:val="36"/>
          <w:lang w:bidi="ar"/>
        </w:rPr>
        <w:t>三、部门单位专项组织实施情况</w:t>
      </w:r>
      <w:bookmarkEnd w:id="18"/>
    </w:p>
    <w:p>
      <w:pPr>
        <w:pStyle w:val="6"/>
        <w:pageBreakBefore w:val="0"/>
        <w:numPr>
          <w:ilvl w:val="0"/>
          <w:numId w:val="1"/>
        </w:numPr>
        <w:kinsoku/>
        <w:wordWrap/>
        <w:overflowPunct/>
        <w:topLinePunct w:val="0"/>
        <w:autoSpaceDE/>
        <w:autoSpaceDN/>
        <w:bidi w:val="0"/>
        <w:adjustRightInd/>
        <w:spacing w:before="0" w:after="0" w:line="560" w:lineRule="exact"/>
        <w:rPr>
          <w:rStyle w:val="19"/>
          <w:rFonts w:ascii="仿宋" w:hAnsi="仿宋" w:eastAsia="仿宋"/>
          <w:b/>
          <w:bCs/>
        </w:rPr>
      </w:pPr>
      <w:bookmarkStart w:id="19" w:name="_Toc70450308"/>
      <w:r>
        <w:rPr>
          <w:rStyle w:val="19"/>
          <w:rFonts w:hint="eastAsia" w:ascii="仿宋" w:hAnsi="仿宋" w:eastAsia="仿宋"/>
          <w:b/>
          <w:bCs/>
        </w:rPr>
        <w:t>专项组织情况分析</w:t>
      </w:r>
      <w:bookmarkEnd w:id="19"/>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楷体" w:eastAsia="仿宋_GB2312"/>
          <w:b w:val="0"/>
          <w:bCs w:val="0"/>
          <w:color w:val="FF0000"/>
          <w:spacing w:val="-4"/>
          <w:sz w:val="28"/>
          <w:szCs w:val="28"/>
        </w:rPr>
      </w:pPr>
      <w:r>
        <w:rPr>
          <w:rStyle w:val="19"/>
          <w:rFonts w:hint="eastAsia" w:ascii="仿宋_GB2312" w:hAnsi="楷体" w:eastAsia="仿宋_GB2312"/>
          <w:b w:val="0"/>
          <w:bCs w:val="0"/>
          <w:spacing w:val="-4"/>
          <w:sz w:val="28"/>
          <w:szCs w:val="28"/>
        </w:rPr>
        <w:t>1、前期准备</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年初我</w:t>
      </w:r>
      <w:r>
        <w:rPr>
          <w:rStyle w:val="19"/>
          <w:rFonts w:hint="eastAsia" w:ascii="仿宋_GB2312" w:hAnsi="楷体" w:eastAsia="仿宋_GB2312"/>
          <w:b w:val="0"/>
          <w:bCs w:val="0"/>
          <w:color w:val="auto"/>
          <w:spacing w:val="-4"/>
          <w:sz w:val="28"/>
          <w:szCs w:val="28"/>
          <w:lang w:val="en-US" w:eastAsia="zh-CN"/>
        </w:rPr>
        <w:t>局制定了2021年度交通运输基础设施建设</w:t>
      </w:r>
      <w:r>
        <w:rPr>
          <w:rStyle w:val="19"/>
          <w:rFonts w:hint="eastAsia" w:ascii="仿宋_GB2312" w:hAnsi="楷体" w:eastAsia="仿宋_GB2312"/>
          <w:b w:val="0"/>
          <w:bCs w:val="0"/>
          <w:color w:val="auto"/>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9"/>
          <w:rFonts w:ascii="仿宋_GB2312" w:hAnsi="楷体" w:eastAsia="仿宋_GB2312"/>
          <w:b w:val="0"/>
          <w:bCs w:val="0"/>
          <w:color w:val="auto"/>
          <w:spacing w:val="-4"/>
          <w:sz w:val="28"/>
          <w:szCs w:val="28"/>
        </w:rPr>
        <w:t>1</w:t>
      </w:r>
      <w:r>
        <w:rPr>
          <w:rStyle w:val="19"/>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2、组织实施</w:t>
      </w:r>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楷体" w:eastAsia="仿宋_GB2312"/>
          <w:b w:val="0"/>
          <w:bCs w:val="0"/>
          <w:color w:val="auto"/>
          <w:spacing w:val="-4"/>
          <w:sz w:val="28"/>
          <w:szCs w:val="28"/>
        </w:rPr>
      </w:pPr>
      <w:r>
        <w:rPr>
          <w:rStyle w:val="19"/>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宋体" w:hAnsi="宋体" w:eastAsia="宋体"/>
          <w:color w:val="FF0000"/>
          <w:spacing w:val="-4"/>
          <w:sz w:val="28"/>
          <w:szCs w:val="28"/>
        </w:rPr>
      </w:pPr>
      <w:r>
        <w:rPr>
          <w:rStyle w:val="19"/>
          <w:rFonts w:hint="eastAsia" w:ascii="仿宋_GB2312" w:hAnsi="楷体" w:eastAsia="仿宋_GB2312"/>
          <w:b w:val="0"/>
          <w:bCs w:val="0"/>
          <w:spacing w:val="-4"/>
          <w:sz w:val="28"/>
          <w:szCs w:val="28"/>
        </w:rPr>
        <w:t>截止12月</w:t>
      </w:r>
      <w:r>
        <w:rPr>
          <w:rStyle w:val="19"/>
          <w:rFonts w:hint="eastAsia" w:ascii="仿宋_GB2312" w:hAnsi="楷体" w:eastAsia="仿宋_GB2312"/>
          <w:b w:val="0"/>
          <w:bCs w:val="0"/>
          <w:spacing w:val="-4"/>
          <w:sz w:val="28"/>
          <w:szCs w:val="28"/>
          <w:lang w:val="en-US" w:eastAsia="zh-CN"/>
        </w:rPr>
        <w:t>31</w:t>
      </w:r>
      <w:r>
        <w:rPr>
          <w:rStyle w:val="19"/>
          <w:rFonts w:hint="eastAsia" w:ascii="仿宋_GB2312" w:hAnsi="楷体" w:eastAsia="仿宋_GB2312"/>
          <w:b w:val="0"/>
          <w:bCs w:val="0"/>
          <w:spacing w:val="-4"/>
          <w:sz w:val="28"/>
          <w:szCs w:val="28"/>
        </w:rPr>
        <w:t>日，该专项均按照时间计划保质、保量完成。</w:t>
      </w:r>
    </w:p>
    <w:p>
      <w:pPr>
        <w:pStyle w:val="6"/>
        <w:pageBreakBefore w:val="0"/>
        <w:numPr>
          <w:ilvl w:val="0"/>
          <w:numId w:val="1"/>
        </w:numPr>
        <w:kinsoku/>
        <w:wordWrap/>
        <w:overflowPunct/>
        <w:topLinePunct w:val="0"/>
        <w:autoSpaceDE/>
        <w:autoSpaceDN/>
        <w:bidi w:val="0"/>
        <w:adjustRightInd/>
        <w:spacing w:before="0" w:after="0" w:line="560" w:lineRule="exact"/>
        <w:rPr>
          <w:rStyle w:val="19"/>
          <w:rFonts w:ascii="仿宋" w:hAnsi="仿宋" w:eastAsia="仿宋"/>
          <w:b/>
          <w:bCs/>
        </w:rPr>
      </w:pPr>
      <w:bookmarkStart w:id="20" w:name="_Toc70450309"/>
      <w:r>
        <w:rPr>
          <w:rStyle w:val="19"/>
          <w:rFonts w:hint="eastAsia" w:ascii="仿宋" w:hAnsi="仿宋" w:eastAsia="仿宋"/>
          <w:b/>
          <w:bCs/>
        </w:rPr>
        <w:t>专项管理情况分析</w:t>
      </w:r>
      <w:bookmarkEnd w:id="20"/>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1、资金到位及使用情况</w:t>
      </w:r>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spacing w:val="-4"/>
          <w:sz w:val="28"/>
          <w:szCs w:val="28"/>
        </w:rPr>
      </w:pPr>
      <w:r>
        <w:rPr>
          <w:rStyle w:val="19"/>
          <w:rFonts w:hint="eastAsia" w:ascii="仿宋_GB2312" w:hAnsi="楷体" w:eastAsia="仿宋_GB2312"/>
          <w:b w:val="0"/>
          <w:spacing w:val="-4"/>
          <w:sz w:val="28"/>
          <w:szCs w:val="28"/>
        </w:rPr>
        <w:t>2</w:t>
      </w:r>
      <w:r>
        <w:rPr>
          <w:rStyle w:val="19"/>
          <w:rFonts w:ascii="仿宋_GB2312" w:hAnsi="楷体" w:eastAsia="仿宋_GB2312"/>
          <w:b w:val="0"/>
          <w:spacing w:val="-4"/>
          <w:sz w:val="28"/>
          <w:szCs w:val="28"/>
        </w:rPr>
        <w:t>021</w:t>
      </w:r>
      <w:r>
        <w:rPr>
          <w:rStyle w:val="19"/>
          <w:rFonts w:hint="eastAsia" w:ascii="仿宋_GB2312" w:hAnsi="楷体" w:eastAsia="仿宋_GB2312"/>
          <w:b w:val="0"/>
          <w:spacing w:val="-4"/>
          <w:sz w:val="28"/>
          <w:szCs w:val="28"/>
        </w:rPr>
        <w:t>年涉及专项资金</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万元，实际到位</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万元，资金到位率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%。截止到</w:t>
      </w:r>
      <w:r>
        <w:rPr>
          <w:rStyle w:val="19"/>
          <w:rFonts w:ascii="仿宋_GB2312" w:hAnsi="楷体" w:eastAsia="仿宋_GB2312"/>
          <w:b w:val="0"/>
          <w:spacing w:val="-4"/>
          <w:sz w:val="28"/>
          <w:szCs w:val="28"/>
        </w:rPr>
        <w:t>2021</w:t>
      </w:r>
      <w:r>
        <w:rPr>
          <w:rStyle w:val="19"/>
          <w:rFonts w:hint="eastAsia" w:ascii="仿宋_GB2312" w:hAnsi="楷体" w:eastAsia="仿宋_GB2312"/>
          <w:b w:val="0"/>
          <w:spacing w:val="-4"/>
          <w:sz w:val="28"/>
          <w:szCs w:val="28"/>
        </w:rPr>
        <w:t>年1</w:t>
      </w:r>
      <w:r>
        <w:rPr>
          <w:rStyle w:val="19"/>
          <w:rFonts w:ascii="仿宋_GB2312" w:hAnsi="楷体" w:eastAsia="仿宋_GB2312"/>
          <w:b w:val="0"/>
          <w:spacing w:val="-4"/>
          <w:sz w:val="28"/>
          <w:szCs w:val="28"/>
        </w:rPr>
        <w:t>2</w:t>
      </w:r>
      <w:r>
        <w:rPr>
          <w:rStyle w:val="19"/>
          <w:rFonts w:hint="eastAsia" w:ascii="仿宋_GB2312" w:hAnsi="楷体" w:eastAsia="仿宋_GB2312"/>
          <w:b w:val="0"/>
          <w:spacing w:val="-4"/>
          <w:sz w:val="28"/>
          <w:szCs w:val="28"/>
        </w:rPr>
        <w:t>月</w:t>
      </w:r>
      <w:r>
        <w:rPr>
          <w:rStyle w:val="19"/>
          <w:rFonts w:hint="eastAsia" w:ascii="仿宋_GB2312" w:hAnsi="楷体" w:eastAsia="仿宋_GB2312"/>
          <w:b w:val="0"/>
          <w:spacing w:val="-4"/>
          <w:sz w:val="28"/>
          <w:szCs w:val="28"/>
          <w:lang w:val="en-US" w:eastAsia="zh-CN"/>
        </w:rPr>
        <w:t>31</w:t>
      </w:r>
      <w:r>
        <w:rPr>
          <w:rStyle w:val="19"/>
          <w:rFonts w:hint="eastAsia" w:ascii="仿宋_GB2312" w:hAnsi="楷体" w:eastAsia="仿宋_GB2312"/>
          <w:b w:val="0"/>
          <w:spacing w:val="-4"/>
          <w:sz w:val="28"/>
          <w:szCs w:val="28"/>
        </w:rPr>
        <w:t>日执行</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万元，执行率</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%。其中：20</w:t>
      </w:r>
      <w:r>
        <w:rPr>
          <w:rStyle w:val="19"/>
          <w:rFonts w:ascii="仿宋_GB2312" w:hAnsi="楷体" w:eastAsia="仿宋_GB2312"/>
          <w:b w:val="0"/>
          <w:spacing w:val="-4"/>
          <w:sz w:val="28"/>
          <w:szCs w:val="28"/>
        </w:rPr>
        <w:t>21</w:t>
      </w:r>
      <w:r>
        <w:rPr>
          <w:rStyle w:val="19"/>
          <w:rFonts w:hint="eastAsia" w:ascii="仿宋_GB2312" w:hAnsi="楷体" w:eastAsia="仿宋_GB2312"/>
          <w:b w:val="0"/>
          <w:spacing w:val="-4"/>
          <w:sz w:val="28"/>
          <w:szCs w:val="28"/>
        </w:rPr>
        <w:t>年结转专项资金</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万元，实际执行</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万元，执行率为</w:t>
      </w:r>
      <w:r>
        <w:rPr>
          <w:rStyle w:val="19"/>
          <w:rFonts w:hint="eastAsia" w:ascii="仿宋_GB2312" w:hAnsi="楷体" w:eastAsia="仿宋_GB2312"/>
          <w:b w:val="0"/>
          <w:spacing w:val="-4"/>
          <w:sz w:val="28"/>
          <w:szCs w:val="28"/>
          <w:lang w:val="en-US" w:eastAsia="zh-CN"/>
        </w:rPr>
        <w:t>0</w:t>
      </w:r>
      <w:r>
        <w:rPr>
          <w:rStyle w:val="19"/>
          <w:rFonts w:hint="eastAsia" w:ascii="仿宋_GB2312" w:hAnsi="楷体" w:eastAsia="仿宋_GB2312"/>
          <w:b w:val="0"/>
          <w:spacing w:val="-4"/>
          <w:sz w:val="28"/>
          <w:szCs w:val="28"/>
        </w:rPr>
        <w:t>%；202</w:t>
      </w:r>
      <w:r>
        <w:rPr>
          <w:rStyle w:val="19"/>
          <w:rFonts w:ascii="仿宋_GB2312" w:hAnsi="楷体" w:eastAsia="仿宋_GB2312"/>
          <w:b w:val="0"/>
          <w:spacing w:val="-4"/>
          <w:sz w:val="28"/>
          <w:szCs w:val="28"/>
        </w:rPr>
        <w:t>1</w:t>
      </w:r>
      <w:r>
        <w:rPr>
          <w:rStyle w:val="19"/>
          <w:rFonts w:hint="eastAsia" w:ascii="仿宋_GB2312" w:hAnsi="楷体" w:eastAsia="仿宋_GB2312"/>
          <w:b w:val="0"/>
          <w:spacing w:val="-4"/>
          <w:sz w:val="28"/>
          <w:szCs w:val="28"/>
        </w:rPr>
        <w:t>年新增专项资金</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万元，实际执行</w:t>
      </w:r>
      <w:r>
        <w:rPr>
          <w:rStyle w:val="19"/>
          <w:rFonts w:hint="eastAsia" w:ascii="仿宋_GB2312" w:hAnsi="楷体" w:eastAsia="仿宋_GB2312"/>
          <w:b w:val="0"/>
          <w:spacing w:val="-4"/>
          <w:sz w:val="28"/>
          <w:szCs w:val="28"/>
          <w:lang w:val="en-US" w:eastAsia="zh-CN"/>
        </w:rPr>
        <w:t>27050.63</w:t>
      </w:r>
      <w:r>
        <w:rPr>
          <w:rStyle w:val="19"/>
          <w:rFonts w:hint="eastAsia" w:ascii="仿宋_GB2312" w:hAnsi="楷体" w:eastAsia="仿宋_GB2312"/>
          <w:b w:val="0"/>
          <w:spacing w:val="-4"/>
          <w:sz w:val="28"/>
          <w:szCs w:val="28"/>
        </w:rPr>
        <w:t>万元，执行率为</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2、资金管理情况</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color w:val="auto"/>
          <w:spacing w:val="-4"/>
          <w:sz w:val="28"/>
          <w:szCs w:val="28"/>
          <w:highlight w:val="none"/>
        </w:rPr>
      </w:pPr>
      <w:r>
        <w:rPr>
          <w:rStyle w:val="19"/>
          <w:rFonts w:hint="eastAsia" w:ascii="仿宋_GB2312" w:hAnsi="楷体" w:eastAsia="仿宋_GB2312"/>
          <w:b w:val="0"/>
          <w:color w:val="auto"/>
          <w:spacing w:val="-4"/>
          <w:sz w:val="28"/>
          <w:szCs w:val="28"/>
          <w:highlight w:val="none"/>
        </w:rPr>
        <w:t>我部门单位严格执行</w:t>
      </w:r>
      <w:r>
        <w:rPr>
          <w:rStyle w:val="19"/>
          <w:rFonts w:hint="eastAsia" w:ascii="仿宋_GB2312" w:hAnsi="楷体" w:eastAsia="仿宋_GB2312"/>
          <w:b w:val="0"/>
          <w:color w:val="auto"/>
          <w:spacing w:val="-4"/>
          <w:sz w:val="28"/>
          <w:szCs w:val="28"/>
          <w:highlight w:val="none"/>
          <w:lang w:eastAsia="zh-CN"/>
        </w:rPr>
        <w:t>《特克斯县交通运输局专项资金管理办法》</w:t>
      </w:r>
      <w:r>
        <w:rPr>
          <w:rStyle w:val="19"/>
          <w:rFonts w:hint="eastAsia" w:ascii="仿宋_GB2312" w:hAnsi="楷体" w:eastAsia="仿宋_GB2312"/>
          <w:b w:val="0"/>
          <w:color w:val="auto"/>
          <w:spacing w:val="-4"/>
          <w:sz w:val="28"/>
          <w:szCs w:val="28"/>
          <w:highlight w:val="none"/>
        </w:rPr>
        <w:t>文件精神要求，加强对专项资金的绩效管理，确保专款专用，提高专项资金使用效益。遵守相关法律法规，严肃财经纪律，自觉接受财政、审计、监察监督检查。</w:t>
      </w:r>
    </w:p>
    <w:p>
      <w:pPr>
        <w:pStyle w:val="6"/>
        <w:pageBreakBefore w:val="0"/>
        <w:numPr>
          <w:ilvl w:val="0"/>
          <w:numId w:val="1"/>
        </w:numPr>
        <w:kinsoku/>
        <w:wordWrap/>
        <w:overflowPunct/>
        <w:topLinePunct w:val="0"/>
        <w:autoSpaceDE/>
        <w:autoSpaceDN/>
        <w:bidi w:val="0"/>
        <w:adjustRightInd/>
        <w:spacing w:before="0" w:after="0" w:line="560" w:lineRule="exact"/>
        <w:rPr>
          <w:rStyle w:val="19"/>
          <w:rFonts w:ascii="仿宋" w:hAnsi="仿宋" w:eastAsia="仿宋"/>
          <w:b/>
          <w:bCs/>
        </w:rPr>
      </w:pPr>
      <w:r>
        <w:rPr>
          <w:rStyle w:val="19"/>
          <w:rFonts w:hint="eastAsia" w:ascii="仿宋" w:hAnsi="仿宋" w:eastAsia="仿宋"/>
          <w:b/>
          <w:bCs/>
        </w:rPr>
        <w:t>项目实施情况分析</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w:t>
      </w:r>
      <w:r>
        <w:rPr>
          <w:rStyle w:val="19"/>
          <w:rFonts w:ascii="仿宋_GB2312" w:hAnsi="楷体" w:eastAsia="仿宋_GB2312"/>
          <w:b w:val="0"/>
          <w:spacing w:val="-4"/>
          <w:sz w:val="28"/>
          <w:szCs w:val="28"/>
        </w:rPr>
        <w:t>、组织情况</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lang w:val="en-US" w:eastAsia="zh-CN"/>
        </w:rPr>
        <w:t>特克斯县交通运输局，根据2021年8个项目的绩效目标及工作内容，将其细化分工至本单位4个科室具体负责，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w:t>
      </w:r>
      <w:r>
        <w:rPr>
          <w:rStyle w:val="19"/>
          <w:rFonts w:ascii="仿宋_GB2312" w:hAnsi="楷体" w:eastAsia="仿宋_GB2312"/>
          <w:b w:val="0"/>
          <w:spacing w:val="-4"/>
          <w:sz w:val="28"/>
          <w:szCs w:val="28"/>
        </w:rPr>
        <w:t>、管理情况</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lang w:val="en-US" w:eastAsia="zh-CN"/>
        </w:rPr>
        <w:t>特克斯县交通运输局2021年度实施的8个项目，由综合业务科、建设管理科指派专人进行全过程跟踪管理，各科室负责人统筹推进项目实施，严格基建程序。成立了工程质量技术监管小组，加强对建设工程的管理和监督检查，并督促落实工程基建程序。根据相关规定和县工程招投标领导小组的要求，需要进行招投标的项目必须进行公开招投标，通过招标挑选施工队伍，确保建设项目交由具备相应资质的施工单位负责。在施工中，从立项、设计、报批到施工各环节，都严格按有关基建程序、设计标准和施工规范进行，从挑选沙石、水泥、钢筋、配件等环节抓起，把好配料比例、操作程序等质量关，保证每个环节、每项工序都受到控制，都按规范进行，从而确保了精准扶贫建设工程的施工质量。部门主要领导不定期对项目进度进行调度，并对项目质量进行控制。</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3</w:t>
      </w:r>
      <w:r>
        <w:rPr>
          <w:rStyle w:val="19"/>
          <w:rFonts w:ascii="仿宋_GB2312" w:hAnsi="楷体" w:eastAsia="仿宋_GB2312"/>
          <w:b w:val="0"/>
          <w:spacing w:val="-4"/>
          <w:sz w:val="28"/>
          <w:szCs w:val="28"/>
        </w:rPr>
        <w:t>、监管情况</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lang w:val="en-US" w:eastAsia="zh-CN"/>
        </w:rPr>
      </w:pPr>
      <w:r>
        <w:rPr>
          <w:rStyle w:val="19"/>
          <w:rFonts w:hint="eastAsia" w:ascii="仿宋_GB2312" w:hAnsi="楷体" w:eastAsia="仿宋_GB2312"/>
          <w:b w:val="0"/>
          <w:spacing w:val="-4"/>
          <w:sz w:val="28"/>
          <w:szCs w:val="28"/>
          <w:lang w:val="en-US" w:eastAsia="zh-CN"/>
        </w:rPr>
        <w:t>局项目建设管理科从项目实施方案、项目预算、项目建设进度、项目成本、项目验收等环节，全过程对项目进行监管，并向本部门主要领导报告，以推进项目建设和提高项目质量，以发挥资金使用效益。　一是把好重建项目设计关、施工图审查关、工程质量监督关、竣工验收关等重要关口，保证重建工程建设质量；二是派出工程管理专干驻点，对重建工程进行技术指导和严格把关，确保工程质量；三是加强现场监理制度，建立完善施工单位自检、建设单位监理、政府监督的三级质量保证体系,杜绝“豆腐渣”工程；四是开展“平安工地”建设活动，落实施工现场安全生产责任，切实抓好重大工程项目施工的风险评估和安全监管。</w:t>
      </w:r>
    </w:p>
    <w:p>
      <w:pPr>
        <w:pStyle w:val="6"/>
        <w:numPr>
          <w:ilvl w:val="0"/>
          <w:numId w:val="1"/>
        </w:numPr>
        <w:spacing w:line="360" w:lineRule="auto"/>
        <w:rPr>
          <w:rStyle w:val="19"/>
          <w:rFonts w:ascii="仿宋" w:hAnsi="仿宋" w:eastAsia="仿宋"/>
          <w:b/>
          <w:bCs/>
        </w:rPr>
      </w:pPr>
      <w:r>
        <w:rPr>
          <w:rStyle w:val="19"/>
          <w:rFonts w:hint="eastAsia" w:ascii="仿宋" w:hAnsi="仿宋" w:eastAsia="仿宋"/>
          <w:b/>
          <w:bCs/>
        </w:rPr>
        <w:t>绩效情况分析</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1</w:t>
      </w:r>
      <w:r>
        <w:rPr>
          <w:rStyle w:val="19"/>
          <w:rFonts w:ascii="仿宋_GB2312" w:hAnsi="楷体" w:eastAsia="仿宋_GB2312"/>
          <w:b w:val="0"/>
          <w:bCs w:val="0"/>
          <w:spacing w:val="-4"/>
          <w:sz w:val="28"/>
          <w:szCs w:val="28"/>
        </w:rPr>
        <w:t>、成本控制情况</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lang w:val="en-US" w:eastAsia="zh-CN"/>
        </w:rPr>
        <w:t>特克斯县交通运输局</w:t>
      </w:r>
      <w:r>
        <w:rPr>
          <w:rStyle w:val="19"/>
          <w:rFonts w:hint="eastAsia" w:ascii="仿宋_GB2312" w:hAnsi="楷体" w:eastAsia="仿宋_GB2312"/>
          <w:b w:val="0"/>
          <w:spacing w:val="-4"/>
          <w:sz w:val="28"/>
          <w:szCs w:val="28"/>
        </w:rPr>
        <w:t>，所涉及专项项目均已于专项资金下达后按照资金文件及绩效管理要求设置《项目绩效目标表》</w:t>
      </w:r>
      <w:r>
        <w:rPr>
          <w:rStyle w:val="19"/>
          <w:rFonts w:hint="eastAsia" w:ascii="仿宋_GB2312" w:hAnsi="楷体" w:eastAsia="仿宋_GB2312"/>
          <w:b w:val="0"/>
          <w:spacing w:val="-4"/>
          <w:sz w:val="28"/>
          <w:szCs w:val="28"/>
          <w:highlight w:val="none"/>
        </w:rPr>
        <w:t>。</w:t>
      </w:r>
      <w:r>
        <w:rPr>
          <w:rStyle w:val="19"/>
          <w:rFonts w:hint="eastAsia" w:ascii="仿宋_GB2312" w:hAnsi="楷体" w:eastAsia="仿宋_GB2312"/>
          <w:b w:val="0"/>
          <w:spacing w:val="-4"/>
          <w:sz w:val="28"/>
          <w:szCs w:val="28"/>
          <w:highlight w:val="none"/>
          <w:lang w:val="en-US" w:eastAsia="zh-CN"/>
        </w:rPr>
        <w:t>8</w:t>
      </w:r>
      <w:r>
        <w:rPr>
          <w:rStyle w:val="19"/>
          <w:rFonts w:hint="eastAsia" w:ascii="仿宋_GB2312" w:hAnsi="楷体" w:eastAsia="仿宋_GB2312"/>
          <w:b w:val="0"/>
          <w:spacing w:val="-4"/>
          <w:sz w:val="28"/>
          <w:szCs w:val="28"/>
          <w:highlight w:val="none"/>
        </w:rPr>
        <w:t>个专项项目预算总额为</w:t>
      </w:r>
      <w:r>
        <w:rPr>
          <w:rStyle w:val="19"/>
          <w:rFonts w:hint="eastAsia" w:ascii="仿宋_GB2312" w:hAnsi="楷体" w:eastAsia="仿宋_GB2312"/>
          <w:b w:val="0"/>
          <w:spacing w:val="-4"/>
          <w:sz w:val="28"/>
          <w:szCs w:val="28"/>
          <w:highlight w:val="none"/>
          <w:lang w:val="en-US" w:eastAsia="zh-CN"/>
        </w:rPr>
        <w:t>27050.63</w:t>
      </w:r>
      <w:r>
        <w:rPr>
          <w:rStyle w:val="19"/>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9"/>
          <w:rFonts w:hint="eastAsia" w:ascii="仿宋_GB2312" w:hAnsi="楷体" w:eastAsia="仿宋_GB2312"/>
          <w:b w:val="0"/>
          <w:spacing w:val="-4"/>
          <w:sz w:val="28"/>
          <w:szCs w:val="28"/>
          <w:highlight w:val="none"/>
          <w:lang w:val="en-US" w:eastAsia="zh-CN"/>
        </w:rPr>
        <w:t>8</w:t>
      </w:r>
      <w:r>
        <w:rPr>
          <w:rStyle w:val="19"/>
          <w:rFonts w:hint="eastAsia" w:ascii="仿宋_GB2312" w:hAnsi="楷体" w:eastAsia="仿宋_GB2312"/>
          <w:b w:val="0"/>
          <w:spacing w:val="-4"/>
          <w:sz w:val="28"/>
          <w:szCs w:val="28"/>
          <w:highlight w:val="none"/>
        </w:rPr>
        <w:t>个项目总成本为</w:t>
      </w:r>
      <w:r>
        <w:rPr>
          <w:rStyle w:val="19"/>
          <w:rFonts w:hint="eastAsia" w:ascii="仿宋_GB2312" w:hAnsi="楷体" w:eastAsia="仿宋_GB2312"/>
          <w:b w:val="0"/>
          <w:spacing w:val="-4"/>
          <w:sz w:val="28"/>
          <w:szCs w:val="28"/>
          <w:highlight w:val="none"/>
          <w:lang w:val="en-US" w:eastAsia="zh-CN"/>
        </w:rPr>
        <w:t>27050.63</w:t>
      </w:r>
      <w:r>
        <w:rPr>
          <w:rStyle w:val="19"/>
          <w:rFonts w:hint="eastAsia" w:ascii="仿宋_GB2312" w:hAnsi="楷体" w:eastAsia="仿宋_GB2312"/>
          <w:b w:val="0"/>
          <w:spacing w:val="-4"/>
          <w:sz w:val="28"/>
          <w:szCs w:val="28"/>
          <w:highlight w:val="none"/>
        </w:rPr>
        <w:t>万元，不存在超支情况。</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bCs w:val="0"/>
          <w:spacing w:val="-4"/>
          <w:sz w:val="28"/>
          <w:szCs w:val="28"/>
        </w:rPr>
      </w:pPr>
      <w:r>
        <w:rPr>
          <w:rStyle w:val="19"/>
          <w:rFonts w:hint="eastAsia" w:ascii="仿宋_GB2312" w:hAnsi="楷体" w:eastAsia="仿宋_GB2312"/>
          <w:b w:val="0"/>
          <w:bCs w:val="0"/>
          <w:spacing w:val="-4"/>
          <w:sz w:val="28"/>
          <w:szCs w:val="28"/>
        </w:rPr>
        <w:t>2</w:t>
      </w:r>
      <w:r>
        <w:rPr>
          <w:rStyle w:val="19"/>
          <w:rFonts w:ascii="仿宋_GB2312" w:hAnsi="楷体" w:eastAsia="仿宋_GB2312"/>
          <w:b w:val="0"/>
          <w:bCs w:val="0"/>
          <w:spacing w:val="-4"/>
          <w:sz w:val="28"/>
          <w:szCs w:val="28"/>
        </w:rPr>
        <w:t>、成本节约情况</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highlight w:val="none"/>
        </w:rPr>
      </w:pPr>
      <w:r>
        <w:rPr>
          <w:rStyle w:val="19"/>
          <w:rFonts w:hint="eastAsia" w:ascii="仿宋_GB2312" w:hAnsi="楷体" w:eastAsia="仿宋_GB2312"/>
          <w:b w:val="0"/>
          <w:spacing w:val="-4"/>
          <w:sz w:val="28"/>
          <w:szCs w:val="28"/>
          <w:highlight w:val="none"/>
          <w:lang w:val="en-US" w:eastAsia="zh-CN"/>
        </w:rPr>
        <w:t>特克斯县交通运输局</w:t>
      </w:r>
      <w:r>
        <w:rPr>
          <w:rStyle w:val="19"/>
          <w:rFonts w:hint="eastAsia" w:ascii="仿宋_GB2312" w:hAnsi="楷体" w:eastAsia="仿宋_GB2312"/>
          <w:b w:val="0"/>
          <w:spacing w:val="-4"/>
          <w:sz w:val="28"/>
          <w:szCs w:val="28"/>
          <w:highlight w:val="none"/>
        </w:rPr>
        <w:t>，所涉及专项项目使用资金比专项项目总预算减少</w:t>
      </w:r>
      <w:r>
        <w:rPr>
          <w:rStyle w:val="19"/>
          <w:rFonts w:hint="eastAsia" w:ascii="仿宋_GB2312" w:hAnsi="楷体" w:eastAsia="仿宋_GB2312"/>
          <w:b w:val="0"/>
          <w:spacing w:val="-4"/>
          <w:sz w:val="28"/>
          <w:szCs w:val="28"/>
          <w:highlight w:val="none"/>
          <w:lang w:val="en-US" w:eastAsia="zh-CN"/>
        </w:rPr>
        <w:t>0</w:t>
      </w:r>
      <w:r>
        <w:rPr>
          <w:rStyle w:val="19"/>
          <w:rFonts w:hint="eastAsia" w:ascii="仿宋_GB2312" w:hAnsi="楷体" w:eastAsia="仿宋_GB2312"/>
          <w:b w:val="0"/>
          <w:spacing w:val="-4"/>
          <w:sz w:val="28"/>
          <w:szCs w:val="28"/>
          <w:highlight w:val="none"/>
        </w:rPr>
        <w:t>万元，</w:t>
      </w:r>
      <w:bookmarkStart w:id="21" w:name="_Hlk96097132"/>
      <w:r>
        <w:rPr>
          <w:rStyle w:val="19"/>
          <w:rFonts w:hint="eastAsia" w:ascii="仿宋_GB2312" w:hAnsi="楷体" w:eastAsia="仿宋_GB2312"/>
          <w:b w:val="0"/>
          <w:spacing w:val="-4"/>
          <w:sz w:val="28"/>
          <w:szCs w:val="28"/>
          <w:highlight w:val="none"/>
        </w:rPr>
        <w:t>项目节约率</w:t>
      </w:r>
      <w:bookmarkEnd w:id="21"/>
      <w:r>
        <w:rPr>
          <w:rStyle w:val="19"/>
          <w:rFonts w:hint="eastAsia" w:ascii="仿宋_GB2312" w:hAnsi="楷体" w:eastAsia="仿宋_GB2312"/>
          <w:b w:val="0"/>
          <w:spacing w:val="-4"/>
          <w:sz w:val="28"/>
          <w:szCs w:val="28"/>
          <w:highlight w:val="none"/>
        </w:rPr>
        <w:t>为</w:t>
      </w:r>
      <w:r>
        <w:rPr>
          <w:rStyle w:val="19"/>
          <w:rFonts w:hint="eastAsia" w:ascii="仿宋_GB2312" w:hAnsi="楷体" w:eastAsia="仿宋_GB2312"/>
          <w:b w:val="0"/>
          <w:spacing w:val="-4"/>
          <w:sz w:val="28"/>
          <w:szCs w:val="28"/>
          <w:highlight w:val="none"/>
          <w:lang w:val="en-US" w:eastAsia="zh-CN"/>
        </w:rPr>
        <w:t>0</w:t>
      </w:r>
      <w:r>
        <w:rPr>
          <w:rStyle w:val="19"/>
          <w:rFonts w:hint="eastAsia" w:ascii="仿宋_GB2312" w:hAnsi="楷体" w:eastAsia="仿宋_GB2312"/>
          <w:b w:val="0"/>
          <w:spacing w:val="-4"/>
          <w:sz w:val="28"/>
          <w:szCs w:val="28"/>
          <w:highlight w:val="none"/>
        </w:rPr>
        <w:t>%。</w:t>
      </w:r>
    </w:p>
    <w:p>
      <w:pPr>
        <w:pStyle w:val="6"/>
        <w:pageBreakBefore w:val="0"/>
        <w:numPr>
          <w:ilvl w:val="0"/>
          <w:numId w:val="1"/>
        </w:numPr>
        <w:kinsoku/>
        <w:wordWrap/>
        <w:overflowPunct/>
        <w:topLinePunct w:val="0"/>
        <w:autoSpaceDE/>
        <w:autoSpaceDN/>
        <w:bidi w:val="0"/>
        <w:adjustRightInd/>
        <w:spacing w:before="0" w:after="0" w:line="560" w:lineRule="exact"/>
        <w:rPr>
          <w:rStyle w:val="19"/>
          <w:rFonts w:hint="eastAsia" w:ascii="仿宋" w:hAnsi="仿宋" w:eastAsia="仿宋"/>
          <w:b/>
          <w:bCs/>
          <w:highlight w:val="none"/>
        </w:rPr>
      </w:pPr>
      <w:r>
        <w:rPr>
          <w:rStyle w:val="19"/>
          <w:rFonts w:hint="eastAsia" w:ascii="仿宋" w:hAnsi="仿宋" w:eastAsia="仿宋"/>
          <w:b/>
          <w:bCs/>
          <w:highlight w:val="none"/>
        </w:rPr>
        <w:t>项目效率性分析</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1、实施进度</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rPr>
      </w:pPr>
      <w:r>
        <w:rPr>
          <w:rStyle w:val="19"/>
          <w:rFonts w:hint="eastAsia" w:ascii="仿宋_GB2312" w:hAnsi="楷体" w:eastAsia="仿宋_GB2312"/>
          <w:b w:val="0"/>
          <w:spacing w:val="-4"/>
          <w:sz w:val="28"/>
          <w:szCs w:val="28"/>
        </w:rPr>
        <w:t>2021年</w:t>
      </w:r>
      <w:r>
        <w:rPr>
          <w:rStyle w:val="19"/>
          <w:rFonts w:hint="eastAsia" w:ascii="仿宋_GB2312" w:hAnsi="楷体" w:eastAsia="仿宋_GB2312"/>
          <w:b w:val="0"/>
          <w:spacing w:val="-4"/>
          <w:sz w:val="28"/>
          <w:szCs w:val="28"/>
          <w:lang w:val="en-US" w:eastAsia="zh-CN"/>
        </w:rPr>
        <w:t>特克斯县交通运输局</w:t>
      </w:r>
      <w:r>
        <w:rPr>
          <w:rStyle w:val="19"/>
          <w:rFonts w:hint="eastAsia" w:ascii="仿宋_GB2312" w:hAnsi="楷体" w:eastAsia="仿宋_GB2312"/>
          <w:b w:val="0"/>
          <w:spacing w:val="-4"/>
          <w:sz w:val="28"/>
          <w:szCs w:val="28"/>
        </w:rPr>
        <w:t>共涉及专项项目</w:t>
      </w:r>
      <w:r>
        <w:rPr>
          <w:rStyle w:val="19"/>
          <w:rFonts w:hint="eastAsia" w:ascii="仿宋_GB2312" w:hAnsi="楷体" w:eastAsia="仿宋_GB2312"/>
          <w:b w:val="0"/>
          <w:spacing w:val="-4"/>
          <w:sz w:val="28"/>
          <w:szCs w:val="28"/>
          <w:lang w:val="en-US" w:eastAsia="zh-CN"/>
        </w:rPr>
        <w:t>8</w:t>
      </w:r>
      <w:r>
        <w:rPr>
          <w:rStyle w:val="19"/>
          <w:rFonts w:hint="eastAsia" w:ascii="仿宋_GB2312" w:hAnsi="楷体" w:eastAsia="仿宋_GB2312"/>
          <w:b w:val="0"/>
          <w:spacing w:val="-4"/>
          <w:sz w:val="28"/>
          <w:szCs w:val="28"/>
        </w:rPr>
        <w:t>个，截止到202</w:t>
      </w:r>
      <w:r>
        <w:rPr>
          <w:rStyle w:val="19"/>
          <w:rFonts w:hint="eastAsia" w:ascii="仿宋_GB2312" w:hAnsi="楷体" w:eastAsia="仿宋_GB2312"/>
          <w:b w:val="0"/>
          <w:spacing w:val="-4"/>
          <w:sz w:val="28"/>
          <w:szCs w:val="28"/>
          <w:lang w:val="en-US" w:eastAsia="zh-CN"/>
        </w:rPr>
        <w:t>1</w:t>
      </w:r>
      <w:r>
        <w:rPr>
          <w:rStyle w:val="19"/>
          <w:rFonts w:hint="eastAsia" w:ascii="仿宋_GB2312" w:hAnsi="楷体" w:eastAsia="仿宋_GB2312"/>
          <w:b w:val="0"/>
          <w:spacing w:val="-4"/>
          <w:sz w:val="28"/>
          <w:szCs w:val="28"/>
        </w:rPr>
        <w:t>年底，通过专项项目实施过程中的有效监督，我单位按预期完成了</w:t>
      </w:r>
      <w:r>
        <w:rPr>
          <w:rStyle w:val="19"/>
          <w:rFonts w:hint="eastAsia" w:ascii="仿宋_GB2312" w:hAnsi="楷体" w:eastAsia="仿宋_GB2312"/>
          <w:b w:val="0"/>
          <w:spacing w:val="-4"/>
          <w:sz w:val="28"/>
          <w:szCs w:val="28"/>
          <w:lang w:val="en-US" w:eastAsia="zh-CN"/>
        </w:rPr>
        <w:t>8</w:t>
      </w:r>
      <w:r>
        <w:rPr>
          <w:rStyle w:val="19"/>
          <w:rFonts w:hint="eastAsia" w:ascii="仿宋_GB2312" w:hAnsi="楷体" w:eastAsia="仿宋_GB2312"/>
          <w:b w:val="0"/>
          <w:spacing w:val="-4"/>
          <w:sz w:val="28"/>
          <w:szCs w:val="28"/>
        </w:rPr>
        <w:t>个专项的各项专项任务，项目总体完成率为</w:t>
      </w:r>
      <w:r>
        <w:rPr>
          <w:rStyle w:val="19"/>
          <w:rFonts w:hint="eastAsia" w:ascii="仿宋_GB2312" w:hAnsi="楷体" w:eastAsia="仿宋_GB2312"/>
          <w:b w:val="0"/>
          <w:spacing w:val="-4"/>
          <w:sz w:val="28"/>
          <w:szCs w:val="28"/>
          <w:lang w:val="en-US" w:eastAsia="zh-CN"/>
        </w:rPr>
        <w:t>100</w:t>
      </w:r>
      <w:r>
        <w:rPr>
          <w:rStyle w:val="19"/>
          <w:rFonts w:hint="eastAsia" w:ascii="仿宋_GB2312" w:hAnsi="楷体" w:eastAsia="仿宋_GB2312"/>
          <w:b w:val="0"/>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9"/>
          <w:rFonts w:ascii="仿宋_GB2312" w:hAnsi="楷体" w:eastAsia="仿宋_GB2312"/>
          <w:b w:val="0"/>
          <w:spacing w:val="-4"/>
          <w:sz w:val="28"/>
          <w:szCs w:val="28"/>
        </w:rPr>
      </w:pPr>
      <w:r>
        <w:rPr>
          <w:rStyle w:val="19"/>
          <w:rFonts w:hint="eastAsia" w:ascii="仿宋_GB2312" w:hAnsi="楷体" w:eastAsia="仿宋_GB2312"/>
          <w:b w:val="0"/>
          <w:spacing w:val="-4"/>
          <w:sz w:val="28"/>
          <w:szCs w:val="28"/>
        </w:rPr>
        <w:t>2、完成质量</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楷体" w:eastAsia="仿宋_GB2312"/>
          <w:b w:val="0"/>
          <w:spacing w:val="-4"/>
          <w:sz w:val="28"/>
          <w:szCs w:val="28"/>
        </w:rPr>
      </w:pPr>
      <w:bookmarkStart w:id="22" w:name="_Hlk96100380"/>
      <w:r>
        <w:rPr>
          <w:rStyle w:val="19"/>
          <w:rFonts w:hint="eastAsia" w:ascii="仿宋_GB2312" w:hAnsi="楷体" w:eastAsia="仿宋_GB2312"/>
          <w:b w:val="0"/>
          <w:spacing w:val="-4"/>
          <w:sz w:val="28"/>
          <w:szCs w:val="28"/>
          <w:lang w:val="en-US" w:eastAsia="zh-CN"/>
        </w:rPr>
        <w:t>8</w:t>
      </w:r>
      <w:r>
        <w:rPr>
          <w:rStyle w:val="19"/>
          <w:rFonts w:hint="eastAsia" w:ascii="仿宋_GB2312" w:hAnsi="楷体" w:eastAsia="仿宋_GB2312"/>
          <w:b w:val="0"/>
          <w:spacing w:val="-4"/>
          <w:sz w:val="28"/>
          <w:szCs w:val="28"/>
        </w:rPr>
        <w:t>个专项项目完成质量情况如下：</w:t>
      </w:r>
      <w:bookmarkEnd w:id="22"/>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伊犁州特克斯县2021年村组道路建设项目，全长147.524公里，目前已完工并投入使用；</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2020年财政专项扶贫资金项目质保金项目，项目已完工完成交竣工验收审核定案；</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喀拉托海镇达根别勒村村组道路建设项目；全长24.5公里，合同价2000万元，目前已完工并投入使用</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伊犁州特克斯县喀甫萨朗主干道建设项目，3.4公里，合同价209万元，目前已完工并投入使用；</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喀拉托海镇达根别勒村村组道路建设项目；全长24.5公里，合同价2000万元，目前已完工并投入使用</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特克斯县八卦城喀拉峻旅游基础设施建设及旅游服务设施建设项目，项目已完工完成交竣工验收审核定案；</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车辆购置税用于2020公路等基础设施建设支出项目，项目已完工并投入使用；</w:t>
      </w:r>
    </w:p>
    <w:p>
      <w:pPr>
        <w:pageBreakBefore w:val="0"/>
        <w:numPr>
          <w:ilvl w:val="0"/>
          <w:numId w:val="2"/>
        </w:numPr>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伊犁州特克斯县中天山旅游景区琼库什台生态旅游基础设施建设项目，全长77公里，按四级公路标准建设，该项目完工投入使用。</w:t>
      </w:r>
    </w:p>
    <w:p>
      <w:pPr>
        <w:pageBreakBefore w:val="0"/>
        <w:numPr>
          <w:ilvl w:val="0"/>
          <w:numId w:val="0"/>
        </w:numPr>
        <w:kinsoku/>
        <w:wordWrap/>
        <w:overflowPunct/>
        <w:topLinePunct w:val="0"/>
        <w:autoSpaceDE/>
        <w:autoSpaceDN/>
        <w:bidi w:val="0"/>
        <w:adjustRightInd/>
        <w:spacing w:line="560" w:lineRule="exact"/>
        <w:rPr>
          <w:rStyle w:val="19"/>
          <w:rFonts w:hint="eastAsia" w:ascii="仿宋_GB2312" w:hAnsi="楷体" w:eastAsia="仿宋_GB2312" w:cs="Times New Roman"/>
          <w:b w:val="0"/>
          <w:bCs w:val="0"/>
          <w:spacing w:val="-4"/>
          <w:sz w:val="28"/>
          <w:szCs w:val="28"/>
          <w:highlight w:val="yellow"/>
          <w:lang w:val="en-US" w:eastAsia="zh-CN"/>
        </w:rPr>
      </w:pPr>
    </w:p>
    <w:p>
      <w:pPr>
        <w:pStyle w:val="6"/>
        <w:pageBreakBefore w:val="0"/>
        <w:numPr>
          <w:ilvl w:val="0"/>
          <w:numId w:val="0"/>
        </w:numPr>
        <w:kinsoku/>
        <w:wordWrap/>
        <w:overflowPunct/>
        <w:topLinePunct w:val="0"/>
        <w:autoSpaceDE/>
        <w:autoSpaceDN/>
        <w:bidi w:val="0"/>
        <w:adjustRightInd/>
        <w:spacing w:before="0" w:after="0" w:line="560" w:lineRule="exact"/>
        <w:ind w:firstLine="562" w:firstLineChars="200"/>
        <w:rPr>
          <w:rStyle w:val="19"/>
          <w:rFonts w:hint="eastAsia" w:ascii="仿宋" w:hAnsi="仿宋" w:eastAsia="仿宋"/>
          <w:b/>
          <w:bCs/>
        </w:rPr>
      </w:pPr>
      <w:r>
        <w:rPr>
          <w:rStyle w:val="19"/>
          <w:rFonts w:hint="eastAsia" w:ascii="仿宋" w:hAnsi="仿宋" w:eastAsia="仿宋"/>
          <w:b/>
          <w:bCs/>
          <w:lang w:eastAsia="zh-CN"/>
        </w:rPr>
        <w:t>（</w:t>
      </w:r>
      <w:r>
        <w:rPr>
          <w:rStyle w:val="19"/>
          <w:rFonts w:hint="eastAsia" w:ascii="仿宋" w:hAnsi="仿宋" w:eastAsia="仿宋"/>
          <w:b/>
          <w:bCs/>
          <w:lang w:val="en-US" w:eastAsia="zh-CN"/>
        </w:rPr>
        <w:t>六</w:t>
      </w:r>
      <w:r>
        <w:rPr>
          <w:rStyle w:val="19"/>
          <w:rFonts w:hint="eastAsia" w:ascii="仿宋" w:hAnsi="仿宋" w:eastAsia="仿宋"/>
          <w:b/>
          <w:bCs/>
          <w:lang w:eastAsia="zh-CN"/>
        </w:rPr>
        <w:t>）</w:t>
      </w:r>
      <w:r>
        <w:rPr>
          <w:rStyle w:val="19"/>
          <w:rFonts w:hint="eastAsia" w:ascii="仿宋" w:hAnsi="仿宋" w:eastAsia="仿宋"/>
          <w:b/>
          <w:bCs/>
        </w:rPr>
        <w:t>项目效益性分析</w:t>
      </w:r>
    </w:p>
    <w:p>
      <w:pPr>
        <w:pStyle w:val="6"/>
        <w:pageBreakBefore w:val="0"/>
        <w:numPr>
          <w:ilvl w:val="0"/>
          <w:numId w:val="0"/>
        </w:numPr>
        <w:kinsoku/>
        <w:wordWrap/>
        <w:overflowPunct/>
        <w:topLinePunct w:val="0"/>
        <w:autoSpaceDE/>
        <w:autoSpaceDN/>
        <w:bidi w:val="0"/>
        <w:adjustRightInd/>
        <w:spacing w:before="0" w:after="0" w:line="560" w:lineRule="exact"/>
        <w:ind w:firstLine="544" w:firstLineChars="200"/>
        <w:rPr>
          <w:rStyle w:val="19"/>
          <w:rFonts w:hint="eastAsia" w:ascii="仿宋_GB2312" w:hAnsi="楷体" w:eastAsia="仿宋_GB2312"/>
          <w:b w:val="0"/>
          <w:bCs w:val="0"/>
          <w:spacing w:val="-4"/>
          <w:sz w:val="28"/>
          <w:szCs w:val="28"/>
          <w:lang w:eastAsia="zh-CN"/>
        </w:rPr>
      </w:pPr>
      <w:r>
        <w:rPr>
          <w:rStyle w:val="19"/>
          <w:rFonts w:hint="eastAsia" w:ascii="仿宋_GB2312" w:hAnsi="楷体" w:eastAsia="仿宋_GB2312"/>
          <w:b w:val="0"/>
          <w:bCs w:val="0"/>
          <w:spacing w:val="-4"/>
          <w:sz w:val="28"/>
          <w:szCs w:val="28"/>
          <w:lang w:val="en-US" w:eastAsia="zh-CN"/>
        </w:rPr>
        <w:t>2021年度8</w:t>
      </w:r>
      <w:r>
        <w:rPr>
          <w:rStyle w:val="19"/>
          <w:rFonts w:hint="eastAsia" w:ascii="仿宋_GB2312" w:hAnsi="楷体" w:eastAsia="仿宋_GB2312"/>
          <w:b w:val="0"/>
          <w:bCs w:val="0"/>
          <w:spacing w:val="-4"/>
          <w:sz w:val="28"/>
          <w:szCs w:val="28"/>
        </w:rPr>
        <w:t>个专项项目预期目标完成程度、实施对经济和社会的影响如下</w:t>
      </w:r>
      <w:r>
        <w:rPr>
          <w:rStyle w:val="19"/>
          <w:rFonts w:hint="eastAsia" w:ascii="仿宋_GB2312" w:hAnsi="楷体" w:eastAsia="仿宋_GB2312"/>
          <w:b w:val="0"/>
          <w:bCs w:val="0"/>
          <w:spacing w:val="-4"/>
          <w:sz w:val="28"/>
          <w:szCs w:val="28"/>
          <w:lang w:eastAsia="zh-CN"/>
        </w:rPr>
        <w:t>：</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1.伊犁州特克斯县2021年村组道路建设项目；更加优化和改善了当地居民出行条件，为我县当地旅游发展打下了坚实基础。</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2.2020年财政专项扶贫资金项目质保金项目；改善了沿线农牧民群众快速便捷安全出行，对经济发展、民生改善都有极大的推动作用。</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3.喀拉托海镇达根别勒村村组道路建设项目；对经济发展、民生改善都有极大的推动作用。</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4.伊犁州特克斯县喀甫萨朗主干道建设项目；，改善了村容居住环境，彻底解决游客及村民出行困难问题。</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5.喀拉托海镇达根别勒村村组道路建设项目：提升了沿线居民的生产生活品质，改善了当地群众的出行条件。</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6.特克斯县八卦城喀拉峻旅游基础设施建设及旅游服务设施建设项目；该项目的完工投入改善了沿线群众的出行条件及旅游景区内的基础设施,提升了其生产生活经济发展水平完善基础设施。</w:t>
      </w:r>
    </w:p>
    <w:p>
      <w:pPr>
        <w:pageBreakBefore w:val="0"/>
        <w:kinsoku/>
        <w:wordWrap/>
        <w:overflowPunct/>
        <w:topLinePunct w:val="0"/>
        <w:autoSpaceDE/>
        <w:autoSpaceDN/>
        <w:bidi w:val="0"/>
        <w:adjustRightInd/>
        <w:spacing w:line="560" w:lineRule="exact"/>
        <w:ind w:firstLine="492" w:firstLineChars="181"/>
        <w:rPr>
          <w:rStyle w:val="19"/>
          <w:rFonts w:hint="eastAsia" w:ascii="仿宋_GB2312" w:hAnsi="楷体" w:eastAsia="仿宋_GB2312" w:cs="Times New Roman"/>
          <w:b w:val="0"/>
          <w:bCs w:val="0"/>
          <w:spacing w:val="-4"/>
          <w:sz w:val="28"/>
          <w:szCs w:val="28"/>
          <w:highlight w:val="none"/>
          <w:lang w:val="en-US" w:eastAsia="zh-CN"/>
        </w:rPr>
      </w:pPr>
      <w:r>
        <w:rPr>
          <w:rStyle w:val="19"/>
          <w:rFonts w:hint="eastAsia" w:ascii="仿宋_GB2312" w:hAnsi="楷体" w:eastAsia="仿宋_GB2312" w:cs="Times New Roman"/>
          <w:b w:val="0"/>
          <w:bCs w:val="0"/>
          <w:spacing w:val="-4"/>
          <w:sz w:val="28"/>
          <w:szCs w:val="28"/>
          <w:highlight w:val="none"/>
          <w:lang w:val="en-US" w:eastAsia="zh-CN"/>
        </w:rPr>
        <w:t>7.车辆购置税用于2020公路等基础设施建设支出项目；提升了沿线居民的生产生活品质，改善了当地群众的出行条件。</w:t>
      </w:r>
    </w:p>
    <w:p>
      <w:pPr>
        <w:pageBreakBefore w:val="0"/>
        <w:kinsoku/>
        <w:wordWrap/>
        <w:overflowPunct/>
        <w:topLinePunct w:val="0"/>
        <w:autoSpaceDE/>
        <w:autoSpaceDN/>
        <w:bidi w:val="0"/>
        <w:adjustRightInd/>
        <w:spacing w:line="560" w:lineRule="exact"/>
        <w:ind w:firstLine="492" w:firstLineChars="181"/>
        <w:rPr>
          <w:rStyle w:val="19"/>
          <w:rFonts w:ascii="仿宋_GB2312" w:hAnsi="楷体" w:eastAsia="仿宋_GB2312"/>
          <w:b w:val="0"/>
          <w:spacing w:val="-4"/>
          <w:sz w:val="28"/>
          <w:szCs w:val="28"/>
          <w:highlight w:val="none"/>
        </w:rPr>
      </w:pPr>
      <w:r>
        <w:rPr>
          <w:rStyle w:val="19"/>
          <w:rFonts w:hint="eastAsia" w:ascii="仿宋_GB2312" w:hAnsi="楷体" w:eastAsia="仿宋_GB2312" w:cs="Times New Roman"/>
          <w:b w:val="0"/>
          <w:bCs w:val="0"/>
          <w:spacing w:val="-4"/>
          <w:sz w:val="28"/>
          <w:szCs w:val="28"/>
          <w:highlight w:val="none"/>
          <w:lang w:val="en-US" w:eastAsia="zh-CN"/>
        </w:rPr>
        <w:t>8.伊犁州特克斯县中天山旅游景区琼库什台生态旅游基础设施建设项目。提升了我县国家历史文化名村琼库什台旅游景区基础设施，对经济发展、民生改善都有极大的推动作用</w:t>
      </w:r>
    </w:p>
    <w:p>
      <w:pPr>
        <w:pStyle w:val="4"/>
        <w:pageBreakBefore w:val="0"/>
        <w:kinsoku/>
        <w:wordWrap/>
        <w:overflowPunct/>
        <w:topLinePunct w:val="0"/>
        <w:autoSpaceDE/>
        <w:autoSpaceDN/>
        <w:bidi w:val="0"/>
        <w:adjustRightInd/>
        <w:spacing w:before="0" w:after="0" w:line="560" w:lineRule="exact"/>
        <w:ind w:firstLine="723" w:firstLineChars="200"/>
        <w:rPr>
          <w:rFonts w:ascii="仿宋" w:hAnsi="仿宋" w:eastAsia="仿宋"/>
          <w:sz w:val="36"/>
          <w:szCs w:val="36"/>
          <w:lang w:bidi="ar"/>
        </w:rPr>
      </w:pPr>
      <w:bookmarkStart w:id="23" w:name="_Toc70450310"/>
      <w:r>
        <w:rPr>
          <w:rFonts w:hint="eastAsia" w:ascii="仿宋" w:hAnsi="仿宋" w:eastAsia="仿宋"/>
          <w:sz w:val="36"/>
          <w:szCs w:val="36"/>
          <w:lang w:bidi="ar"/>
        </w:rPr>
        <w:t>四、资产管理情况</w:t>
      </w:r>
      <w:bookmarkEnd w:id="23"/>
    </w:p>
    <w:p>
      <w:pPr>
        <w:pStyle w:val="5"/>
        <w:pageBreakBefore w:val="0"/>
        <w:kinsoku/>
        <w:wordWrap/>
        <w:overflowPunct/>
        <w:topLinePunct w:val="0"/>
        <w:autoSpaceDE/>
        <w:autoSpaceDN/>
        <w:bidi w:val="0"/>
        <w:adjustRightInd/>
        <w:spacing w:before="0" w:after="0" w:line="560" w:lineRule="exact"/>
        <w:ind w:firstLine="643" w:firstLineChars="200"/>
        <w:rPr>
          <w:rStyle w:val="19"/>
          <w:rFonts w:ascii="仿宋" w:hAnsi="仿宋" w:eastAsia="仿宋"/>
          <w:b/>
          <w:bCs/>
        </w:rPr>
      </w:pPr>
      <w:bookmarkStart w:id="24" w:name="_Toc70450311"/>
      <w:r>
        <w:rPr>
          <w:rStyle w:val="19"/>
          <w:rFonts w:hint="eastAsia" w:ascii="仿宋" w:hAnsi="仿宋" w:eastAsia="仿宋"/>
          <w:b/>
          <w:bCs/>
        </w:rPr>
        <w:t>（一）资产配置情况</w:t>
      </w:r>
      <w:bookmarkEnd w:id="24"/>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bCs w:val="0"/>
          <w:spacing w:val="-4"/>
          <w:sz w:val="28"/>
          <w:szCs w:val="28"/>
          <w:highlight w:val="none"/>
        </w:rPr>
      </w:pPr>
      <w:r>
        <w:rPr>
          <w:rStyle w:val="19"/>
          <w:rFonts w:hint="eastAsia" w:ascii="仿宋_GB2312" w:hAnsi="宋体" w:eastAsia="仿宋_GB2312"/>
          <w:b w:val="0"/>
          <w:bCs w:val="0"/>
          <w:spacing w:val="-4"/>
          <w:sz w:val="28"/>
          <w:szCs w:val="28"/>
        </w:rPr>
        <w:t>202</w:t>
      </w:r>
      <w:r>
        <w:rPr>
          <w:rStyle w:val="19"/>
          <w:rFonts w:hint="eastAsia" w:ascii="仿宋_GB2312" w:hAnsi="宋体" w:eastAsia="仿宋_GB2312"/>
          <w:b w:val="0"/>
          <w:bCs w:val="0"/>
          <w:spacing w:val="-4"/>
          <w:sz w:val="28"/>
          <w:szCs w:val="28"/>
          <w:lang w:val="en-US" w:eastAsia="zh-CN"/>
        </w:rPr>
        <w:t>1</w:t>
      </w:r>
      <w:r>
        <w:rPr>
          <w:rStyle w:val="19"/>
          <w:rFonts w:hint="eastAsia" w:ascii="仿宋_GB2312" w:hAnsi="宋体" w:eastAsia="仿宋_GB2312"/>
          <w:b w:val="0"/>
          <w:bCs w:val="0"/>
          <w:spacing w:val="-4"/>
          <w:sz w:val="28"/>
          <w:szCs w:val="28"/>
        </w:rPr>
        <w:t>年我单位资产总额</w:t>
      </w:r>
      <w:r>
        <w:rPr>
          <w:rStyle w:val="19"/>
          <w:rFonts w:ascii="仿宋_GB2312" w:hAnsi="宋体" w:eastAsia="仿宋_GB2312"/>
          <w:b w:val="0"/>
          <w:bCs w:val="0"/>
          <w:spacing w:val="-4"/>
          <w:sz w:val="28"/>
          <w:szCs w:val="28"/>
        </w:rPr>
        <w:t xml:space="preserve"> </w:t>
      </w:r>
      <w:r>
        <w:rPr>
          <w:rStyle w:val="19"/>
          <w:rFonts w:hint="eastAsia" w:ascii="仿宋_GB2312" w:hAnsi="宋体" w:eastAsia="仿宋_GB2312"/>
          <w:b w:val="0"/>
          <w:bCs w:val="0"/>
          <w:spacing w:val="-4"/>
          <w:sz w:val="28"/>
          <w:szCs w:val="28"/>
        </w:rPr>
        <w:t>143071</w:t>
      </w:r>
      <w:r>
        <w:rPr>
          <w:rStyle w:val="19"/>
          <w:rFonts w:hint="eastAsia" w:ascii="仿宋_GB2312" w:hAnsi="宋体" w:eastAsia="仿宋_GB2312"/>
          <w:b w:val="0"/>
          <w:bCs w:val="0"/>
          <w:spacing w:val="-4"/>
          <w:sz w:val="28"/>
          <w:szCs w:val="28"/>
          <w:lang w:val="en-US" w:eastAsia="zh-CN"/>
        </w:rPr>
        <w:t>.</w:t>
      </w:r>
      <w:r>
        <w:rPr>
          <w:rStyle w:val="19"/>
          <w:rFonts w:hint="eastAsia" w:ascii="仿宋_GB2312" w:hAnsi="宋体" w:eastAsia="仿宋_GB2312"/>
          <w:b w:val="0"/>
          <w:bCs w:val="0"/>
          <w:spacing w:val="-4"/>
          <w:sz w:val="28"/>
          <w:szCs w:val="28"/>
        </w:rPr>
        <w:t>17万元，其中流动资产1889</w:t>
      </w:r>
      <w:r>
        <w:rPr>
          <w:rStyle w:val="19"/>
          <w:rFonts w:hint="eastAsia" w:ascii="仿宋_GB2312" w:hAnsi="宋体" w:eastAsia="仿宋_GB2312"/>
          <w:b w:val="0"/>
          <w:bCs w:val="0"/>
          <w:spacing w:val="-4"/>
          <w:sz w:val="28"/>
          <w:szCs w:val="28"/>
          <w:lang w:val="en-US" w:eastAsia="zh-CN"/>
        </w:rPr>
        <w:t>.</w:t>
      </w:r>
      <w:r>
        <w:rPr>
          <w:rStyle w:val="19"/>
          <w:rFonts w:hint="eastAsia" w:ascii="仿宋_GB2312" w:hAnsi="宋体" w:eastAsia="仿宋_GB2312"/>
          <w:b w:val="0"/>
          <w:bCs w:val="0"/>
          <w:spacing w:val="-4"/>
          <w:sz w:val="28"/>
          <w:szCs w:val="28"/>
        </w:rPr>
        <w:t>81万元（其中</w:t>
      </w:r>
      <w:r>
        <w:rPr>
          <w:rStyle w:val="19"/>
          <w:rFonts w:hint="eastAsia" w:ascii="仿宋_GB2312" w:hAnsi="宋体" w:eastAsia="仿宋_GB2312"/>
          <w:b w:val="0"/>
          <w:bCs w:val="0"/>
          <w:spacing w:val="-4"/>
          <w:sz w:val="28"/>
          <w:szCs w:val="28"/>
          <w:lang w:eastAsia="zh-CN"/>
        </w:rPr>
        <w:t>：其他应收款</w:t>
      </w:r>
      <w:r>
        <w:rPr>
          <w:rStyle w:val="19"/>
          <w:rFonts w:hint="eastAsia" w:ascii="仿宋_GB2312" w:hAnsi="宋体" w:eastAsia="仿宋_GB2312"/>
          <w:b w:val="0"/>
          <w:bCs w:val="0"/>
          <w:spacing w:val="-4"/>
          <w:sz w:val="28"/>
          <w:szCs w:val="28"/>
        </w:rPr>
        <w:t>1889</w:t>
      </w:r>
      <w:r>
        <w:rPr>
          <w:rStyle w:val="19"/>
          <w:rFonts w:hint="eastAsia" w:ascii="仿宋_GB2312" w:hAnsi="宋体" w:eastAsia="仿宋_GB2312"/>
          <w:b w:val="0"/>
          <w:bCs w:val="0"/>
          <w:spacing w:val="-4"/>
          <w:sz w:val="28"/>
          <w:szCs w:val="28"/>
          <w:lang w:val="en-US" w:eastAsia="zh-CN"/>
        </w:rPr>
        <w:t>.</w:t>
      </w:r>
      <w:r>
        <w:rPr>
          <w:rStyle w:val="19"/>
          <w:rFonts w:hint="eastAsia" w:ascii="仿宋_GB2312" w:hAnsi="宋体" w:eastAsia="仿宋_GB2312"/>
          <w:b w:val="0"/>
          <w:bCs w:val="0"/>
          <w:spacing w:val="-4"/>
          <w:sz w:val="28"/>
          <w:szCs w:val="28"/>
        </w:rPr>
        <w:t>81）</w:t>
      </w:r>
      <w:r>
        <w:rPr>
          <w:rStyle w:val="19"/>
          <w:rFonts w:hint="eastAsia" w:ascii="仿宋_GB2312" w:hAnsi="宋体" w:eastAsia="仿宋_GB2312"/>
          <w:b w:val="0"/>
          <w:bCs w:val="0"/>
          <w:spacing w:val="-4"/>
          <w:sz w:val="28"/>
          <w:szCs w:val="28"/>
          <w:highlight w:val="none"/>
        </w:rPr>
        <w:t>，固定资产净值12</w:t>
      </w:r>
      <w:r>
        <w:rPr>
          <w:rStyle w:val="19"/>
          <w:rFonts w:hint="eastAsia" w:ascii="仿宋_GB2312" w:hAnsi="宋体" w:eastAsia="仿宋_GB2312"/>
          <w:b w:val="0"/>
          <w:bCs w:val="0"/>
          <w:spacing w:val="-4"/>
          <w:sz w:val="28"/>
          <w:szCs w:val="28"/>
          <w:highlight w:val="none"/>
          <w:lang w:val="en-US" w:eastAsia="zh-CN"/>
        </w:rPr>
        <w:t>.</w:t>
      </w:r>
      <w:r>
        <w:rPr>
          <w:rStyle w:val="19"/>
          <w:rFonts w:hint="eastAsia" w:ascii="仿宋_GB2312" w:hAnsi="宋体" w:eastAsia="仿宋_GB2312"/>
          <w:b w:val="0"/>
          <w:bCs w:val="0"/>
          <w:spacing w:val="-4"/>
          <w:sz w:val="28"/>
          <w:szCs w:val="28"/>
          <w:highlight w:val="none"/>
        </w:rPr>
        <w:t>8</w:t>
      </w:r>
      <w:r>
        <w:rPr>
          <w:rStyle w:val="19"/>
          <w:rFonts w:hint="eastAsia" w:ascii="仿宋_GB2312" w:hAnsi="宋体" w:eastAsia="仿宋_GB2312"/>
          <w:b w:val="0"/>
          <w:bCs w:val="0"/>
          <w:spacing w:val="-4"/>
          <w:sz w:val="28"/>
          <w:szCs w:val="28"/>
          <w:highlight w:val="none"/>
          <w:lang w:val="en-US" w:eastAsia="zh-CN"/>
        </w:rPr>
        <w:t>4</w:t>
      </w:r>
      <w:r>
        <w:rPr>
          <w:rStyle w:val="19"/>
          <w:rFonts w:hint="eastAsia" w:ascii="仿宋_GB2312" w:hAnsi="宋体" w:eastAsia="仿宋_GB2312"/>
          <w:b w:val="0"/>
          <w:bCs w:val="0"/>
          <w:spacing w:val="-4"/>
          <w:sz w:val="28"/>
          <w:szCs w:val="28"/>
          <w:highlight w:val="none"/>
        </w:rPr>
        <w:t>万元（其中：土地、房屋及构筑物</w:t>
      </w:r>
      <w:r>
        <w:rPr>
          <w:rStyle w:val="19"/>
          <w:rFonts w:hint="eastAsia" w:ascii="仿宋_GB2312" w:hAnsi="宋体" w:eastAsia="仿宋_GB2312"/>
          <w:b w:val="0"/>
          <w:bCs w:val="0"/>
          <w:spacing w:val="-4"/>
          <w:sz w:val="28"/>
          <w:szCs w:val="28"/>
          <w:highlight w:val="none"/>
          <w:lang w:val="en-US" w:eastAsia="zh-CN"/>
        </w:rPr>
        <w:t>0</w:t>
      </w:r>
      <w:r>
        <w:rPr>
          <w:rStyle w:val="19"/>
          <w:rFonts w:hint="eastAsia" w:ascii="仿宋_GB2312" w:hAnsi="宋体" w:eastAsia="仿宋_GB2312"/>
          <w:b w:val="0"/>
          <w:bCs w:val="0"/>
          <w:spacing w:val="-4"/>
          <w:sz w:val="28"/>
          <w:szCs w:val="28"/>
          <w:highlight w:val="none"/>
        </w:rPr>
        <w:t>万元，占固定资产净值的</w:t>
      </w:r>
      <w:r>
        <w:rPr>
          <w:rStyle w:val="19"/>
          <w:rFonts w:hint="eastAsia" w:ascii="仿宋_GB2312" w:hAnsi="宋体" w:eastAsia="仿宋_GB2312"/>
          <w:b w:val="0"/>
          <w:bCs w:val="0"/>
          <w:spacing w:val="-4"/>
          <w:sz w:val="28"/>
          <w:szCs w:val="28"/>
          <w:highlight w:val="none"/>
          <w:lang w:val="en-US" w:eastAsia="zh-CN"/>
        </w:rPr>
        <w:t>0</w:t>
      </w:r>
      <w:r>
        <w:rPr>
          <w:rStyle w:val="19"/>
          <w:rFonts w:hint="eastAsia" w:ascii="仿宋_GB2312" w:hAnsi="宋体" w:eastAsia="仿宋_GB2312"/>
          <w:b w:val="0"/>
          <w:bCs w:val="0"/>
          <w:spacing w:val="-4"/>
          <w:sz w:val="28"/>
          <w:szCs w:val="28"/>
          <w:highlight w:val="none"/>
        </w:rPr>
        <w:t>%；通用设备</w:t>
      </w:r>
      <w:r>
        <w:rPr>
          <w:rStyle w:val="19"/>
          <w:rFonts w:ascii="仿宋_GB2312" w:hAnsi="宋体" w:eastAsia="仿宋_GB2312"/>
          <w:b w:val="0"/>
          <w:bCs w:val="0"/>
          <w:spacing w:val="-4"/>
          <w:sz w:val="28"/>
          <w:szCs w:val="28"/>
          <w:highlight w:val="none"/>
        </w:rPr>
        <w:t xml:space="preserve"> </w:t>
      </w:r>
      <w:r>
        <w:rPr>
          <w:rStyle w:val="19"/>
          <w:rFonts w:hint="eastAsia" w:ascii="仿宋_GB2312" w:hAnsi="宋体" w:eastAsia="仿宋_GB2312"/>
          <w:b w:val="0"/>
          <w:bCs w:val="0"/>
          <w:spacing w:val="-4"/>
          <w:sz w:val="28"/>
          <w:szCs w:val="28"/>
          <w:highlight w:val="none"/>
          <w:lang w:val="en-US" w:eastAsia="zh-CN"/>
        </w:rPr>
        <w:t>9.93</w:t>
      </w:r>
      <w:r>
        <w:rPr>
          <w:rStyle w:val="19"/>
          <w:rFonts w:hint="eastAsia" w:ascii="仿宋_GB2312" w:hAnsi="宋体" w:eastAsia="仿宋_GB2312"/>
          <w:b w:val="0"/>
          <w:bCs w:val="0"/>
          <w:spacing w:val="-4"/>
          <w:sz w:val="28"/>
          <w:szCs w:val="28"/>
          <w:highlight w:val="none"/>
        </w:rPr>
        <w:t>万元，占固定资产净值的</w:t>
      </w:r>
      <w:r>
        <w:rPr>
          <w:rStyle w:val="19"/>
          <w:rFonts w:hint="eastAsia" w:ascii="仿宋_GB2312" w:hAnsi="宋体" w:eastAsia="仿宋_GB2312"/>
          <w:b w:val="0"/>
          <w:bCs w:val="0"/>
          <w:spacing w:val="-4"/>
          <w:sz w:val="28"/>
          <w:szCs w:val="28"/>
          <w:highlight w:val="none"/>
          <w:lang w:val="en-US" w:eastAsia="zh-CN"/>
        </w:rPr>
        <w:t>77.33</w:t>
      </w:r>
      <w:r>
        <w:rPr>
          <w:rStyle w:val="19"/>
          <w:rFonts w:hint="eastAsia" w:ascii="仿宋_GB2312" w:hAnsi="宋体" w:eastAsia="仿宋_GB2312"/>
          <w:b w:val="0"/>
          <w:bCs w:val="0"/>
          <w:spacing w:val="-4"/>
          <w:sz w:val="28"/>
          <w:szCs w:val="28"/>
          <w:highlight w:val="none"/>
        </w:rPr>
        <w:t>%；专用设备</w:t>
      </w:r>
      <w:r>
        <w:rPr>
          <w:rStyle w:val="19"/>
          <w:rFonts w:hint="eastAsia" w:ascii="仿宋_GB2312" w:hAnsi="宋体" w:eastAsia="仿宋_GB2312"/>
          <w:b w:val="0"/>
          <w:bCs w:val="0"/>
          <w:spacing w:val="-4"/>
          <w:sz w:val="28"/>
          <w:szCs w:val="28"/>
          <w:highlight w:val="none"/>
          <w:lang w:val="en-US" w:eastAsia="zh-CN"/>
        </w:rPr>
        <w:t>0</w:t>
      </w:r>
      <w:r>
        <w:rPr>
          <w:rStyle w:val="19"/>
          <w:rFonts w:hint="eastAsia" w:ascii="仿宋_GB2312" w:hAnsi="宋体" w:eastAsia="仿宋_GB2312"/>
          <w:b w:val="0"/>
          <w:bCs w:val="0"/>
          <w:spacing w:val="-4"/>
          <w:sz w:val="28"/>
          <w:szCs w:val="28"/>
          <w:highlight w:val="none"/>
        </w:rPr>
        <w:t>万元，占固定资产净值的</w:t>
      </w:r>
      <w:r>
        <w:rPr>
          <w:rStyle w:val="19"/>
          <w:rFonts w:hint="eastAsia" w:ascii="仿宋_GB2312" w:hAnsi="宋体" w:eastAsia="仿宋_GB2312"/>
          <w:b w:val="0"/>
          <w:bCs w:val="0"/>
          <w:spacing w:val="-4"/>
          <w:sz w:val="28"/>
          <w:szCs w:val="28"/>
          <w:highlight w:val="none"/>
          <w:lang w:val="en-US" w:eastAsia="zh-CN"/>
        </w:rPr>
        <w:t>0</w:t>
      </w:r>
      <w:r>
        <w:rPr>
          <w:rStyle w:val="19"/>
          <w:rFonts w:hint="eastAsia" w:ascii="仿宋_GB2312" w:hAnsi="宋体" w:eastAsia="仿宋_GB2312"/>
          <w:b w:val="0"/>
          <w:bCs w:val="0"/>
          <w:spacing w:val="-4"/>
          <w:sz w:val="28"/>
          <w:szCs w:val="28"/>
          <w:highlight w:val="none"/>
        </w:rPr>
        <w:t>%；其他</w:t>
      </w:r>
      <w:r>
        <w:rPr>
          <w:rStyle w:val="19"/>
          <w:rFonts w:hint="eastAsia" w:ascii="仿宋_GB2312" w:hAnsi="宋体" w:eastAsia="仿宋_GB2312"/>
          <w:b w:val="0"/>
          <w:bCs w:val="0"/>
          <w:spacing w:val="-4"/>
          <w:sz w:val="28"/>
          <w:szCs w:val="28"/>
          <w:highlight w:val="none"/>
          <w:lang w:val="en-US" w:eastAsia="zh-CN"/>
        </w:rPr>
        <w:t>家具、用具2.91万元，占固定资产净值的22.64%</w:t>
      </w:r>
      <w:r>
        <w:rPr>
          <w:rStyle w:val="19"/>
          <w:rFonts w:hint="eastAsia" w:ascii="仿宋_GB2312" w:hAnsi="宋体" w:eastAsia="仿宋_GB2312"/>
          <w:b w:val="0"/>
          <w:bCs w:val="0"/>
          <w:spacing w:val="-4"/>
          <w:sz w:val="28"/>
          <w:szCs w:val="28"/>
          <w:highlight w:val="none"/>
        </w:rPr>
        <w:t>）。</w:t>
      </w:r>
    </w:p>
    <w:p>
      <w:pPr>
        <w:pageBreakBefore w:val="0"/>
        <w:kinsoku/>
        <w:wordWrap/>
        <w:overflowPunct/>
        <w:topLinePunct w:val="0"/>
        <w:autoSpaceDE/>
        <w:autoSpaceDN/>
        <w:bidi w:val="0"/>
        <w:adjustRightInd/>
        <w:spacing w:line="560" w:lineRule="exact"/>
        <w:ind w:firstLine="544" w:firstLineChars="200"/>
        <w:rPr>
          <w:rStyle w:val="19"/>
          <w:rFonts w:hint="default" w:ascii="仿宋_GB2312" w:hAnsi="宋体" w:eastAsia="仿宋_GB2312"/>
          <w:b w:val="0"/>
          <w:bCs w:val="0"/>
          <w:spacing w:val="-4"/>
          <w:sz w:val="28"/>
          <w:szCs w:val="28"/>
          <w:highlight w:val="none"/>
          <w:lang w:val="en-US" w:eastAsia="zh-CN"/>
        </w:rPr>
      </w:pPr>
      <w:r>
        <w:rPr>
          <w:rStyle w:val="19"/>
          <w:rFonts w:hint="eastAsia" w:ascii="仿宋_GB2312" w:hAnsi="宋体" w:eastAsia="仿宋_GB2312"/>
          <w:b w:val="0"/>
          <w:bCs w:val="0"/>
          <w:spacing w:val="-4"/>
          <w:sz w:val="28"/>
          <w:szCs w:val="28"/>
          <w:highlight w:val="none"/>
        </w:rPr>
        <w:t>本年度流动资产1889</w:t>
      </w:r>
      <w:r>
        <w:rPr>
          <w:rStyle w:val="19"/>
          <w:rFonts w:hint="eastAsia" w:ascii="仿宋_GB2312" w:hAnsi="宋体" w:eastAsia="仿宋_GB2312"/>
          <w:b w:val="0"/>
          <w:bCs w:val="0"/>
          <w:spacing w:val="-4"/>
          <w:sz w:val="28"/>
          <w:szCs w:val="28"/>
          <w:highlight w:val="none"/>
          <w:lang w:val="en-US" w:eastAsia="zh-CN"/>
        </w:rPr>
        <w:t>.</w:t>
      </w:r>
      <w:r>
        <w:rPr>
          <w:rStyle w:val="19"/>
          <w:rFonts w:hint="eastAsia" w:ascii="仿宋_GB2312" w:hAnsi="宋体" w:eastAsia="仿宋_GB2312"/>
          <w:b w:val="0"/>
          <w:bCs w:val="0"/>
          <w:spacing w:val="-4"/>
          <w:sz w:val="28"/>
          <w:szCs w:val="28"/>
          <w:highlight w:val="none"/>
        </w:rPr>
        <w:t>81万元，比上年减少</w:t>
      </w:r>
      <w:r>
        <w:rPr>
          <w:rStyle w:val="19"/>
          <w:rFonts w:hint="eastAsia" w:ascii="仿宋_GB2312" w:hAnsi="宋体" w:eastAsia="仿宋_GB2312"/>
          <w:b w:val="0"/>
          <w:bCs w:val="0"/>
          <w:spacing w:val="-4"/>
          <w:sz w:val="28"/>
          <w:szCs w:val="28"/>
          <w:highlight w:val="none"/>
          <w:lang w:val="en-US" w:eastAsia="zh-CN"/>
        </w:rPr>
        <w:t>499.55</w:t>
      </w:r>
      <w:r>
        <w:rPr>
          <w:rStyle w:val="19"/>
          <w:rFonts w:hint="eastAsia" w:ascii="仿宋_GB2312" w:hAnsi="宋体" w:eastAsia="仿宋_GB2312"/>
          <w:b w:val="0"/>
          <w:bCs w:val="0"/>
          <w:spacing w:val="-4"/>
          <w:sz w:val="28"/>
          <w:szCs w:val="28"/>
          <w:highlight w:val="none"/>
        </w:rPr>
        <w:t>万元，原因是：</w:t>
      </w:r>
      <w:r>
        <w:rPr>
          <w:rStyle w:val="19"/>
          <w:rFonts w:hint="eastAsia" w:ascii="仿宋_GB2312" w:hAnsi="宋体" w:eastAsia="仿宋_GB2312"/>
          <w:b w:val="0"/>
          <w:bCs w:val="0"/>
          <w:spacing w:val="-4"/>
          <w:sz w:val="28"/>
          <w:szCs w:val="28"/>
          <w:highlight w:val="none"/>
          <w:lang w:val="en-US" w:eastAsia="zh-CN"/>
        </w:rPr>
        <w:t>其他应收款比上期减少</w:t>
      </w:r>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本年度固定资产91</w:t>
      </w:r>
      <w:r>
        <w:rPr>
          <w:rStyle w:val="19"/>
          <w:rFonts w:hint="eastAsia" w:ascii="仿宋_GB2312" w:hAnsi="宋体" w:eastAsia="仿宋_GB2312"/>
          <w:b w:val="0"/>
          <w:bCs w:val="0"/>
          <w:spacing w:val="-4"/>
          <w:sz w:val="28"/>
          <w:szCs w:val="28"/>
          <w:lang w:val="en-US" w:eastAsia="zh-CN"/>
        </w:rPr>
        <w:t>.</w:t>
      </w:r>
      <w:r>
        <w:rPr>
          <w:rStyle w:val="19"/>
          <w:rFonts w:hint="eastAsia" w:ascii="仿宋_GB2312" w:hAnsi="宋体" w:eastAsia="仿宋_GB2312"/>
          <w:b w:val="0"/>
          <w:bCs w:val="0"/>
          <w:spacing w:val="-4"/>
          <w:sz w:val="28"/>
          <w:szCs w:val="28"/>
        </w:rPr>
        <w:t>9</w:t>
      </w:r>
      <w:r>
        <w:rPr>
          <w:rStyle w:val="19"/>
          <w:rFonts w:hint="eastAsia" w:ascii="仿宋_GB2312" w:hAnsi="宋体" w:eastAsia="仿宋_GB2312"/>
          <w:b w:val="0"/>
          <w:bCs w:val="0"/>
          <w:spacing w:val="-4"/>
          <w:sz w:val="28"/>
          <w:szCs w:val="28"/>
          <w:lang w:val="en-US" w:eastAsia="zh-CN"/>
        </w:rPr>
        <w:t>2</w:t>
      </w:r>
      <w:r>
        <w:rPr>
          <w:rStyle w:val="19"/>
          <w:rFonts w:hint="eastAsia" w:ascii="仿宋_GB2312" w:hAnsi="宋体" w:eastAsia="仿宋_GB2312"/>
          <w:b w:val="0"/>
          <w:bCs w:val="0"/>
          <w:spacing w:val="-4"/>
          <w:sz w:val="28"/>
          <w:szCs w:val="28"/>
        </w:rPr>
        <w:t>万元，比上年增加</w:t>
      </w:r>
      <w:r>
        <w:rPr>
          <w:rStyle w:val="19"/>
          <w:rFonts w:hint="eastAsia" w:ascii="仿宋_GB2312" w:hAnsi="宋体" w:eastAsia="仿宋_GB2312"/>
          <w:b w:val="0"/>
          <w:bCs w:val="0"/>
          <w:spacing w:val="-4"/>
          <w:sz w:val="28"/>
          <w:szCs w:val="28"/>
          <w:lang w:val="en-US" w:eastAsia="zh-CN"/>
        </w:rPr>
        <w:t>0.12</w:t>
      </w:r>
      <w:r>
        <w:rPr>
          <w:rStyle w:val="19"/>
          <w:rFonts w:hint="eastAsia" w:ascii="仿宋_GB2312" w:hAnsi="宋体" w:eastAsia="仿宋_GB2312"/>
          <w:b w:val="0"/>
          <w:bCs w:val="0"/>
          <w:spacing w:val="-4"/>
          <w:sz w:val="28"/>
          <w:szCs w:val="28"/>
        </w:rPr>
        <w:t>万元，原因是：</w:t>
      </w:r>
      <w:r>
        <w:rPr>
          <w:rStyle w:val="19"/>
          <w:rFonts w:hint="eastAsia" w:ascii="仿宋_GB2312" w:hAnsi="宋体" w:eastAsia="仿宋_GB2312"/>
          <w:b w:val="0"/>
          <w:bCs w:val="0"/>
          <w:spacing w:val="-4"/>
          <w:sz w:val="28"/>
          <w:szCs w:val="28"/>
          <w:lang w:eastAsia="zh-CN"/>
        </w:rPr>
        <w:t>购入核酸检测用光敏打印机</w:t>
      </w:r>
      <w:r>
        <w:rPr>
          <w:rStyle w:val="19"/>
          <w:rFonts w:hint="eastAsia" w:ascii="仿宋_GB2312" w:hAnsi="宋体" w:eastAsia="仿宋_GB2312"/>
          <w:b w:val="0"/>
          <w:bCs w:val="0"/>
          <w:spacing w:val="-4"/>
          <w:sz w:val="28"/>
          <w:szCs w:val="28"/>
        </w:rPr>
        <w:t>。</w:t>
      </w:r>
    </w:p>
    <w:p>
      <w:pPr>
        <w:pageBreakBefore w:val="0"/>
        <w:kinsoku/>
        <w:wordWrap/>
        <w:overflowPunct/>
        <w:topLinePunct w:val="0"/>
        <w:autoSpaceDE/>
        <w:autoSpaceDN/>
        <w:bidi w:val="0"/>
        <w:adjustRightInd/>
        <w:snapToGrid w:val="0"/>
        <w:spacing w:line="560" w:lineRule="exact"/>
        <w:ind w:firstLine="544" w:firstLineChars="200"/>
        <w:rPr>
          <w:rStyle w:val="19"/>
          <w:rFonts w:ascii="宋体" w:hAnsi="宋体" w:eastAsia="宋体"/>
          <w:bCs w:val="0"/>
          <w:color w:val="FF0000"/>
          <w:spacing w:val="-4"/>
          <w:sz w:val="28"/>
          <w:szCs w:val="28"/>
        </w:rPr>
      </w:pPr>
      <w:r>
        <w:rPr>
          <w:rStyle w:val="19"/>
          <w:rFonts w:hint="eastAsia" w:ascii="仿宋_GB2312" w:hAnsi="宋体" w:eastAsia="仿宋_GB2312"/>
          <w:b w:val="0"/>
          <w:bCs w:val="0"/>
          <w:spacing w:val="-4"/>
          <w:sz w:val="28"/>
          <w:szCs w:val="28"/>
        </w:rPr>
        <w:t>实际在用固定资产</w:t>
      </w:r>
      <w:r>
        <w:rPr>
          <w:rStyle w:val="19"/>
          <w:rFonts w:hint="eastAsia" w:ascii="仿宋_GB2312" w:hAnsi="宋体" w:eastAsia="仿宋_GB2312"/>
          <w:b w:val="0"/>
          <w:bCs w:val="0"/>
          <w:spacing w:val="-4"/>
          <w:sz w:val="28"/>
          <w:szCs w:val="28"/>
          <w:lang w:val="en-US" w:eastAsia="zh-CN"/>
        </w:rPr>
        <w:t>91.92</w:t>
      </w:r>
      <w:r>
        <w:rPr>
          <w:rStyle w:val="19"/>
          <w:rFonts w:hint="eastAsia" w:ascii="仿宋_GB2312" w:hAnsi="宋体" w:eastAsia="仿宋_GB2312"/>
          <w:b w:val="0"/>
          <w:bCs w:val="0"/>
          <w:spacing w:val="-4"/>
          <w:sz w:val="28"/>
          <w:szCs w:val="28"/>
        </w:rPr>
        <w:t>万元，固定资产利用率</w:t>
      </w:r>
      <w:r>
        <w:rPr>
          <w:rStyle w:val="19"/>
          <w:rFonts w:hint="eastAsia" w:ascii="仿宋_GB2312" w:hAnsi="宋体" w:eastAsia="仿宋_GB2312"/>
          <w:b w:val="0"/>
          <w:bCs w:val="0"/>
          <w:spacing w:val="-4"/>
          <w:sz w:val="28"/>
          <w:szCs w:val="28"/>
          <w:lang w:val="en-US" w:eastAsia="zh-CN"/>
        </w:rPr>
        <w:t>100</w:t>
      </w:r>
      <w:r>
        <w:rPr>
          <w:rStyle w:val="19"/>
          <w:rFonts w:hint="eastAsia" w:ascii="仿宋_GB2312" w:hAnsi="宋体" w:eastAsia="仿宋_GB2312"/>
          <w:b w:val="0"/>
          <w:bCs w:val="0"/>
          <w:spacing w:val="-4"/>
          <w:sz w:val="28"/>
          <w:szCs w:val="28"/>
        </w:rPr>
        <w:t>%。</w:t>
      </w:r>
    </w:p>
    <w:p>
      <w:pPr>
        <w:pStyle w:val="5"/>
        <w:pageBreakBefore w:val="0"/>
        <w:kinsoku/>
        <w:wordWrap/>
        <w:overflowPunct/>
        <w:topLinePunct w:val="0"/>
        <w:autoSpaceDE/>
        <w:autoSpaceDN/>
        <w:bidi w:val="0"/>
        <w:adjustRightInd/>
        <w:spacing w:before="0" w:after="0" w:line="560" w:lineRule="exact"/>
        <w:ind w:firstLine="643" w:firstLineChars="200"/>
        <w:rPr>
          <w:rStyle w:val="19"/>
          <w:rFonts w:ascii="仿宋" w:hAnsi="仿宋" w:eastAsia="仿宋"/>
          <w:b/>
          <w:bCs/>
        </w:rPr>
      </w:pPr>
      <w:bookmarkStart w:id="25" w:name="_Toc70450312"/>
      <w:r>
        <w:rPr>
          <w:rStyle w:val="19"/>
          <w:rFonts w:hint="eastAsia" w:ascii="仿宋" w:hAnsi="仿宋" w:eastAsia="仿宋"/>
          <w:b/>
          <w:bCs/>
        </w:rPr>
        <w:t>（二）资产管理情况</w:t>
      </w:r>
      <w:bookmarkEnd w:id="25"/>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color w:val="auto"/>
          <w:spacing w:val="-4"/>
          <w:sz w:val="28"/>
          <w:szCs w:val="28"/>
        </w:rPr>
      </w:pPr>
      <w:r>
        <w:rPr>
          <w:rStyle w:val="19"/>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4"/>
        <w:pageBreakBefore w:val="0"/>
        <w:kinsoku/>
        <w:wordWrap/>
        <w:overflowPunct/>
        <w:topLinePunct w:val="0"/>
        <w:autoSpaceDE/>
        <w:autoSpaceDN/>
        <w:bidi w:val="0"/>
        <w:adjustRightInd/>
        <w:spacing w:before="0" w:after="0" w:line="560" w:lineRule="exact"/>
        <w:ind w:firstLine="723" w:firstLineChars="200"/>
        <w:rPr>
          <w:rFonts w:ascii="仿宋" w:hAnsi="仿宋" w:eastAsia="仿宋"/>
          <w:sz w:val="36"/>
          <w:szCs w:val="36"/>
          <w:lang w:bidi="ar"/>
        </w:rPr>
      </w:pPr>
      <w:bookmarkStart w:id="26" w:name="_Toc70450313"/>
      <w:r>
        <w:rPr>
          <w:rFonts w:hint="eastAsia" w:ascii="仿宋" w:hAnsi="仿宋" w:eastAsia="仿宋"/>
          <w:sz w:val="36"/>
          <w:szCs w:val="36"/>
          <w:lang w:bidi="ar"/>
        </w:rPr>
        <w:t>五、部门单位整体支出绩效情况</w:t>
      </w:r>
      <w:bookmarkEnd w:id="26"/>
    </w:p>
    <w:p>
      <w:pPr>
        <w:pStyle w:val="5"/>
        <w:pageBreakBefore w:val="0"/>
        <w:kinsoku/>
        <w:wordWrap/>
        <w:overflowPunct/>
        <w:topLinePunct w:val="0"/>
        <w:autoSpaceDE/>
        <w:autoSpaceDN/>
        <w:bidi w:val="0"/>
        <w:adjustRightInd/>
        <w:spacing w:before="0" w:after="0" w:line="560" w:lineRule="exact"/>
        <w:ind w:firstLine="643" w:firstLineChars="200"/>
        <w:rPr>
          <w:rStyle w:val="19"/>
          <w:rFonts w:ascii="仿宋" w:hAnsi="仿宋" w:eastAsia="仿宋"/>
          <w:b/>
          <w:bCs/>
        </w:rPr>
      </w:pPr>
      <w:bookmarkStart w:id="27" w:name="_Toc70450314"/>
      <w:r>
        <w:rPr>
          <w:rStyle w:val="19"/>
          <w:rFonts w:hint="eastAsia" w:ascii="仿宋" w:hAnsi="仿宋" w:eastAsia="仿宋"/>
          <w:b/>
          <w:bCs/>
        </w:rPr>
        <w:t>（一）经济效益评价</w:t>
      </w:r>
      <w:bookmarkEnd w:id="27"/>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bCs w:val="0"/>
          <w:spacing w:val="-4"/>
          <w:sz w:val="28"/>
          <w:szCs w:val="28"/>
        </w:rPr>
      </w:pPr>
      <w:r>
        <w:rPr>
          <w:rStyle w:val="19"/>
          <w:rFonts w:hint="eastAsia" w:ascii="仿宋_GB2312" w:hAnsi="宋体" w:eastAsia="仿宋_GB2312"/>
          <w:b w:val="0"/>
          <w:bCs w:val="0"/>
          <w:spacing w:val="-4"/>
          <w:sz w:val="28"/>
          <w:szCs w:val="28"/>
        </w:rPr>
        <w:t>202</w:t>
      </w:r>
      <w:r>
        <w:rPr>
          <w:rStyle w:val="19"/>
          <w:rFonts w:hint="eastAsia" w:ascii="仿宋_GB2312" w:hAnsi="宋体" w:eastAsia="仿宋_GB2312"/>
          <w:b w:val="0"/>
          <w:bCs w:val="0"/>
          <w:spacing w:val="-4"/>
          <w:sz w:val="28"/>
          <w:szCs w:val="28"/>
          <w:lang w:val="en-US" w:eastAsia="zh-CN"/>
        </w:rPr>
        <w:t>1</w:t>
      </w:r>
      <w:r>
        <w:rPr>
          <w:rStyle w:val="19"/>
          <w:rFonts w:hint="eastAsia" w:ascii="仿宋_GB2312" w:hAnsi="宋体" w:eastAsia="仿宋_GB2312"/>
          <w:b w:val="0"/>
          <w:bCs w:val="0"/>
          <w:spacing w:val="-4"/>
          <w:sz w:val="28"/>
          <w:szCs w:val="28"/>
        </w:rPr>
        <w:t>年度我单位年初预算安排</w:t>
      </w:r>
      <w:r>
        <w:rPr>
          <w:rStyle w:val="19"/>
          <w:rFonts w:hint="eastAsia" w:ascii="仿宋_GB2312" w:hAnsi="宋体" w:eastAsia="仿宋_GB2312"/>
          <w:b w:val="0"/>
          <w:bCs w:val="0"/>
          <w:spacing w:val="-4"/>
          <w:sz w:val="28"/>
          <w:szCs w:val="28"/>
          <w:lang w:val="en-US" w:eastAsia="zh-CN"/>
        </w:rPr>
        <w:t>162.68</w:t>
      </w:r>
      <w:r>
        <w:rPr>
          <w:rStyle w:val="19"/>
          <w:rFonts w:hint="eastAsia" w:ascii="仿宋_GB2312" w:hAnsi="宋体" w:eastAsia="仿宋_GB2312"/>
          <w:b w:val="0"/>
          <w:bCs w:val="0"/>
          <w:spacing w:val="-4"/>
          <w:sz w:val="28"/>
          <w:szCs w:val="28"/>
        </w:rPr>
        <w:t>万元，年中调整</w:t>
      </w:r>
      <w:r>
        <w:rPr>
          <w:rStyle w:val="19"/>
          <w:rFonts w:hint="eastAsia" w:ascii="仿宋_GB2312" w:hAnsi="宋体" w:eastAsia="仿宋_GB2312"/>
          <w:b w:val="0"/>
          <w:bCs w:val="0"/>
          <w:spacing w:val="-4"/>
          <w:sz w:val="28"/>
          <w:szCs w:val="28"/>
          <w:lang w:val="en-US" w:eastAsia="zh-CN"/>
        </w:rPr>
        <w:t>27951.67</w:t>
      </w:r>
      <w:r>
        <w:rPr>
          <w:rStyle w:val="19"/>
          <w:rFonts w:hint="eastAsia" w:ascii="仿宋_GB2312" w:hAnsi="宋体" w:eastAsia="仿宋_GB2312"/>
          <w:b w:val="0"/>
          <w:bCs w:val="0"/>
          <w:spacing w:val="-4"/>
          <w:sz w:val="28"/>
          <w:szCs w:val="28"/>
        </w:rPr>
        <w:t>万元，截止12月底支出</w:t>
      </w:r>
      <w:r>
        <w:rPr>
          <w:rStyle w:val="19"/>
          <w:rFonts w:hint="eastAsia" w:ascii="仿宋_GB2312" w:hAnsi="宋体" w:eastAsia="仿宋_GB2312"/>
          <w:b w:val="0"/>
          <w:bCs w:val="0"/>
          <w:spacing w:val="-4"/>
          <w:sz w:val="28"/>
          <w:szCs w:val="28"/>
          <w:lang w:val="en-US" w:eastAsia="zh-CN"/>
        </w:rPr>
        <w:t>28114.35</w:t>
      </w:r>
      <w:r>
        <w:rPr>
          <w:rStyle w:val="19"/>
          <w:rFonts w:hint="eastAsia" w:ascii="仿宋_GB2312" w:hAnsi="宋体" w:eastAsia="仿宋_GB2312"/>
          <w:b w:val="0"/>
          <w:bCs w:val="0"/>
          <w:spacing w:val="-4"/>
          <w:sz w:val="28"/>
          <w:szCs w:val="28"/>
        </w:rPr>
        <w:t>万元，执行率</w:t>
      </w:r>
      <w:r>
        <w:rPr>
          <w:rStyle w:val="19"/>
          <w:rFonts w:hint="eastAsia" w:ascii="仿宋_GB2312" w:hAnsi="宋体" w:eastAsia="仿宋_GB2312"/>
          <w:b w:val="0"/>
          <w:bCs w:val="0"/>
          <w:spacing w:val="-4"/>
          <w:sz w:val="28"/>
          <w:szCs w:val="28"/>
          <w:lang w:val="en-US" w:eastAsia="zh-CN"/>
        </w:rPr>
        <w:t>100</w:t>
      </w:r>
      <w:r>
        <w:rPr>
          <w:rStyle w:val="19"/>
          <w:rFonts w:hint="eastAsia" w:ascii="仿宋_GB2312" w:hAnsi="宋体" w:eastAsia="仿宋_GB2312"/>
          <w:b w:val="0"/>
          <w:bCs w:val="0"/>
          <w:spacing w:val="-4"/>
          <w:sz w:val="28"/>
          <w:szCs w:val="28"/>
        </w:rPr>
        <w:t>%。</w:t>
      </w:r>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bCs w:val="0"/>
          <w:spacing w:val="-4"/>
          <w:sz w:val="28"/>
          <w:szCs w:val="28"/>
        </w:rPr>
      </w:pPr>
      <w:r>
        <w:rPr>
          <w:rStyle w:val="19"/>
          <w:rFonts w:ascii="仿宋_GB2312" w:hAnsi="宋体" w:eastAsia="仿宋_GB2312"/>
          <w:b w:val="0"/>
          <w:bCs w:val="0"/>
          <w:spacing w:val="-4"/>
          <w:sz w:val="28"/>
          <w:szCs w:val="28"/>
        </w:rPr>
        <w:t>1</w:t>
      </w:r>
      <w:r>
        <w:rPr>
          <w:rStyle w:val="19"/>
          <w:rFonts w:hint="eastAsia" w:ascii="仿宋_GB2312" w:hAnsi="宋体" w:eastAsia="仿宋_GB2312"/>
          <w:b w:val="0"/>
          <w:bCs w:val="0"/>
          <w:spacing w:val="-4"/>
          <w:sz w:val="28"/>
          <w:szCs w:val="28"/>
        </w:rPr>
        <w:t>、预算资金执行过程中均按照年初预算分配情况均做到专款专用，未出现资金侵、挪占情况。</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宋体" w:eastAsia="仿宋_GB2312"/>
          <w:b w:val="0"/>
          <w:bCs w:val="0"/>
          <w:spacing w:val="-4"/>
          <w:sz w:val="28"/>
          <w:szCs w:val="28"/>
        </w:rPr>
      </w:pPr>
      <w:r>
        <w:rPr>
          <w:rStyle w:val="19"/>
          <w:rFonts w:ascii="仿宋_GB2312" w:hAnsi="宋体" w:eastAsia="仿宋_GB2312"/>
          <w:b w:val="0"/>
          <w:bCs w:val="0"/>
          <w:spacing w:val="-4"/>
          <w:sz w:val="28"/>
          <w:szCs w:val="28"/>
        </w:rPr>
        <w:t>2</w:t>
      </w:r>
      <w:r>
        <w:rPr>
          <w:rStyle w:val="19"/>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w:t>
      </w:r>
      <w:r>
        <w:rPr>
          <w:rStyle w:val="19"/>
          <w:rFonts w:hint="eastAsia" w:ascii="仿宋_GB2312" w:hAnsi="宋体" w:eastAsia="仿宋_GB2312"/>
          <w:b w:val="0"/>
          <w:bCs w:val="0"/>
          <w:spacing w:val="-4"/>
          <w:sz w:val="28"/>
          <w:szCs w:val="28"/>
          <w:lang w:val="en-US" w:eastAsia="zh-CN"/>
        </w:rPr>
        <w:t>问题发生</w:t>
      </w:r>
      <w:r>
        <w:rPr>
          <w:rStyle w:val="19"/>
          <w:rFonts w:hint="eastAsia" w:ascii="仿宋_GB2312" w:hAnsi="宋体" w:eastAsia="仿宋_GB2312"/>
          <w:b w:val="0"/>
          <w:bCs w:val="0"/>
          <w:spacing w:val="-4"/>
          <w:sz w:val="28"/>
          <w:szCs w:val="28"/>
        </w:rPr>
        <w:t>。</w:t>
      </w:r>
    </w:p>
    <w:p>
      <w:pPr>
        <w:pStyle w:val="5"/>
        <w:pageBreakBefore w:val="0"/>
        <w:kinsoku/>
        <w:wordWrap/>
        <w:overflowPunct/>
        <w:topLinePunct w:val="0"/>
        <w:autoSpaceDE/>
        <w:autoSpaceDN/>
        <w:bidi w:val="0"/>
        <w:adjustRightInd/>
        <w:spacing w:before="0" w:after="0" w:line="560" w:lineRule="exact"/>
        <w:ind w:firstLine="643" w:firstLineChars="200"/>
        <w:rPr>
          <w:rStyle w:val="19"/>
          <w:rFonts w:ascii="仿宋" w:hAnsi="仿宋" w:eastAsia="仿宋"/>
          <w:b/>
          <w:bCs/>
          <w:highlight w:val="none"/>
        </w:rPr>
      </w:pPr>
      <w:bookmarkStart w:id="28" w:name="_Toc70450315"/>
      <w:r>
        <w:rPr>
          <w:rStyle w:val="19"/>
          <w:rFonts w:hint="eastAsia" w:ascii="仿宋" w:hAnsi="仿宋" w:eastAsia="仿宋"/>
          <w:b/>
          <w:bCs/>
          <w:highlight w:val="none"/>
        </w:rPr>
        <w:t>（二）效率性评价</w:t>
      </w:r>
      <w:bookmarkEnd w:id="28"/>
    </w:p>
    <w:p>
      <w:pPr>
        <w:pageBreakBefore w:val="0"/>
        <w:kinsoku/>
        <w:wordWrap/>
        <w:overflowPunct/>
        <w:topLinePunct w:val="0"/>
        <w:autoSpaceDE/>
        <w:autoSpaceDN/>
        <w:bidi w:val="0"/>
        <w:adjustRightInd/>
        <w:spacing w:line="560" w:lineRule="exact"/>
        <w:ind w:firstLine="544" w:firstLineChars="200"/>
        <w:rPr>
          <w:rStyle w:val="19"/>
          <w:rFonts w:ascii="仿宋_GB2312" w:hAnsi="宋体" w:eastAsia="仿宋_GB2312"/>
          <w:b w:val="0"/>
          <w:bCs w:val="0"/>
          <w:spacing w:val="-4"/>
          <w:sz w:val="28"/>
          <w:szCs w:val="28"/>
          <w:highlight w:val="none"/>
        </w:rPr>
      </w:pPr>
      <w:r>
        <w:rPr>
          <w:rStyle w:val="19"/>
          <w:rFonts w:hint="eastAsia" w:ascii="仿宋_GB2312" w:hAnsi="宋体" w:eastAsia="仿宋_GB2312"/>
          <w:b w:val="0"/>
          <w:bCs w:val="0"/>
          <w:spacing w:val="-4"/>
          <w:sz w:val="28"/>
          <w:szCs w:val="28"/>
          <w:highlight w:val="none"/>
        </w:rPr>
        <w:t>202</w:t>
      </w:r>
      <w:r>
        <w:rPr>
          <w:rStyle w:val="19"/>
          <w:rFonts w:hint="eastAsia" w:ascii="仿宋_GB2312" w:hAnsi="宋体" w:eastAsia="仿宋_GB2312"/>
          <w:b w:val="0"/>
          <w:bCs w:val="0"/>
          <w:spacing w:val="-4"/>
          <w:sz w:val="28"/>
          <w:szCs w:val="28"/>
          <w:highlight w:val="none"/>
          <w:lang w:val="en-US" w:eastAsia="zh-CN"/>
        </w:rPr>
        <w:t>1</w:t>
      </w:r>
      <w:r>
        <w:rPr>
          <w:rStyle w:val="19"/>
          <w:rFonts w:hint="eastAsia" w:ascii="仿宋_GB2312" w:hAnsi="宋体" w:eastAsia="仿宋_GB2312"/>
          <w:b w:val="0"/>
          <w:bCs w:val="0"/>
          <w:spacing w:val="-4"/>
          <w:sz w:val="28"/>
          <w:szCs w:val="28"/>
          <w:highlight w:val="none"/>
        </w:rPr>
        <w:t>年，在</w:t>
      </w:r>
      <w:r>
        <w:rPr>
          <w:rStyle w:val="19"/>
          <w:rFonts w:hint="eastAsia" w:ascii="仿宋_GB2312" w:hAnsi="宋体" w:eastAsia="仿宋_GB2312"/>
          <w:b w:val="0"/>
          <w:bCs w:val="0"/>
          <w:spacing w:val="-4"/>
          <w:sz w:val="28"/>
          <w:szCs w:val="28"/>
          <w:highlight w:val="none"/>
          <w:lang w:eastAsia="zh-CN"/>
        </w:rPr>
        <w:t>县委政府</w:t>
      </w:r>
      <w:r>
        <w:rPr>
          <w:rStyle w:val="19"/>
          <w:rFonts w:hint="eastAsia" w:ascii="仿宋_GB2312" w:hAnsi="宋体" w:eastAsia="仿宋_GB2312"/>
          <w:b w:val="0"/>
          <w:bCs w:val="0"/>
          <w:spacing w:val="-4"/>
          <w:sz w:val="28"/>
          <w:szCs w:val="28"/>
          <w:highlight w:val="none"/>
        </w:rPr>
        <w:t>的大力支持和</w:t>
      </w:r>
      <w:r>
        <w:rPr>
          <w:rStyle w:val="19"/>
          <w:rFonts w:hint="eastAsia" w:ascii="仿宋_GB2312" w:hAnsi="宋体" w:eastAsia="仿宋_GB2312"/>
          <w:b w:val="0"/>
          <w:bCs w:val="0"/>
          <w:spacing w:val="-4"/>
          <w:sz w:val="28"/>
          <w:szCs w:val="28"/>
          <w:highlight w:val="none"/>
          <w:lang w:eastAsia="zh-CN"/>
        </w:rPr>
        <w:t>州交通运输局</w:t>
      </w:r>
      <w:r>
        <w:rPr>
          <w:rStyle w:val="19"/>
          <w:rFonts w:hint="eastAsia" w:ascii="仿宋_GB2312" w:hAnsi="宋体" w:eastAsia="仿宋_GB2312"/>
          <w:b w:val="0"/>
          <w:bCs w:val="0"/>
          <w:spacing w:val="-4"/>
          <w:sz w:val="28"/>
          <w:szCs w:val="28"/>
          <w:highlight w:val="none"/>
        </w:rPr>
        <w:t>的正确领导下，我单位迎难而上、务实重干，积极推动各项</w:t>
      </w:r>
      <w:r>
        <w:rPr>
          <w:rStyle w:val="19"/>
          <w:rFonts w:hint="eastAsia" w:ascii="仿宋_GB2312" w:hAnsi="宋体" w:eastAsia="仿宋_GB2312"/>
          <w:b w:val="0"/>
          <w:bCs w:val="0"/>
          <w:spacing w:val="-4"/>
          <w:sz w:val="28"/>
          <w:szCs w:val="28"/>
          <w:highlight w:val="none"/>
          <w:lang w:val="en-US" w:eastAsia="zh-CN"/>
        </w:rPr>
        <w:t>交通运输</w:t>
      </w:r>
      <w:r>
        <w:rPr>
          <w:rStyle w:val="19"/>
          <w:rFonts w:hint="eastAsia" w:ascii="仿宋_GB2312" w:hAnsi="宋体" w:eastAsia="仿宋_GB2312"/>
          <w:b w:val="0"/>
          <w:bCs w:val="0"/>
          <w:spacing w:val="-4"/>
          <w:sz w:val="28"/>
          <w:szCs w:val="28"/>
          <w:highlight w:val="none"/>
        </w:rPr>
        <w:t>工作取得了新的进展，为促进经济持续健康发展与社会和谐稳定提供了有力的</w:t>
      </w:r>
      <w:r>
        <w:rPr>
          <w:rStyle w:val="19"/>
          <w:rFonts w:hint="eastAsia" w:ascii="仿宋_GB2312" w:hAnsi="宋体" w:eastAsia="仿宋_GB2312"/>
          <w:b w:val="0"/>
          <w:bCs w:val="0"/>
          <w:spacing w:val="-4"/>
          <w:sz w:val="28"/>
          <w:szCs w:val="28"/>
          <w:highlight w:val="none"/>
          <w:lang w:val="en-US" w:eastAsia="zh-CN"/>
        </w:rPr>
        <w:t>交通运输</w:t>
      </w:r>
      <w:r>
        <w:rPr>
          <w:rStyle w:val="19"/>
          <w:rFonts w:hint="eastAsia" w:ascii="仿宋_GB2312" w:hAnsi="宋体" w:eastAsia="仿宋_GB2312"/>
          <w:b w:val="0"/>
          <w:bCs w:val="0"/>
          <w:spacing w:val="-4"/>
          <w:sz w:val="28"/>
          <w:szCs w:val="28"/>
          <w:highlight w:val="none"/>
        </w:rPr>
        <w:t>支撑和保障。</w:t>
      </w:r>
    </w:p>
    <w:p>
      <w:pPr>
        <w:pageBreakBefore w:val="0"/>
        <w:kinsoku/>
        <w:wordWrap/>
        <w:overflowPunct/>
        <w:topLinePunct w:val="0"/>
        <w:autoSpaceDE/>
        <w:autoSpaceDN/>
        <w:bidi w:val="0"/>
        <w:adjustRightInd/>
        <w:spacing w:line="560" w:lineRule="exact"/>
        <w:ind w:firstLine="544" w:firstLineChars="200"/>
        <w:rPr>
          <w:rStyle w:val="19"/>
          <w:rFonts w:hint="eastAsia" w:ascii="仿宋_GB2312" w:hAnsi="宋体" w:eastAsia="仿宋_GB2312" w:cstheme="minorBidi"/>
          <w:b w:val="0"/>
          <w:bCs w:val="0"/>
          <w:spacing w:val="-4"/>
          <w:kern w:val="2"/>
          <w:sz w:val="28"/>
          <w:szCs w:val="28"/>
          <w:lang w:val="en-US" w:eastAsia="zh-CN" w:bidi="ar-SA"/>
        </w:rPr>
      </w:pPr>
      <w:r>
        <w:rPr>
          <w:rStyle w:val="19"/>
          <w:rFonts w:hint="eastAsia" w:ascii="仿宋_GB2312" w:hAnsi="宋体" w:eastAsia="仿宋_GB2312" w:cstheme="minorBidi"/>
          <w:b w:val="0"/>
          <w:bCs w:val="0"/>
          <w:spacing w:val="-4"/>
          <w:kern w:val="2"/>
          <w:sz w:val="28"/>
          <w:szCs w:val="28"/>
          <w:lang w:val="en-US" w:eastAsia="zh-CN" w:bidi="ar-SA"/>
        </w:rPr>
        <w:t>1、圆满完成2021年交通运输基础设施建设工作，我局紧盯目标、持续接力，结合乡村振兴战略紧密衔接“旅游+交通”，落实层层包联责任、发扬持续战斗精神，全年共完成农村公路项目5个，建设农村公路总里程129公里。</w:t>
      </w:r>
    </w:p>
    <w:p>
      <w:pPr>
        <w:pStyle w:val="24"/>
        <w:pageBreakBefore w:val="0"/>
        <w:numPr>
          <w:ilvl w:val="0"/>
          <w:numId w:val="0"/>
        </w:numPr>
        <w:tabs>
          <w:tab w:val="left" w:pos="312"/>
        </w:tabs>
        <w:kinsoku/>
        <w:wordWrap/>
        <w:overflowPunct/>
        <w:topLinePunct w:val="0"/>
        <w:autoSpaceDE/>
        <w:autoSpaceDN/>
        <w:bidi w:val="0"/>
        <w:adjustRightInd/>
        <w:spacing w:line="560" w:lineRule="exact"/>
        <w:ind w:firstLine="544" w:firstLineChars="200"/>
        <w:jc w:val="left"/>
        <w:rPr>
          <w:rStyle w:val="19"/>
          <w:rFonts w:hint="eastAsia" w:ascii="仿宋_GB2312" w:hAnsi="宋体" w:eastAsia="仿宋_GB2312" w:cstheme="minorBidi"/>
          <w:b w:val="0"/>
          <w:bCs w:val="0"/>
          <w:spacing w:val="-4"/>
          <w:kern w:val="2"/>
          <w:sz w:val="28"/>
          <w:szCs w:val="28"/>
          <w:lang w:val="en-US" w:eastAsia="zh-CN" w:bidi="ar-SA"/>
        </w:rPr>
      </w:pPr>
      <w:r>
        <w:rPr>
          <w:rStyle w:val="19"/>
          <w:rFonts w:hint="eastAsia" w:ascii="仿宋_GB2312" w:hAnsi="宋体" w:eastAsia="仿宋_GB2312" w:cstheme="minorBidi"/>
          <w:b w:val="0"/>
          <w:bCs w:val="0"/>
          <w:spacing w:val="-4"/>
          <w:kern w:val="2"/>
          <w:sz w:val="28"/>
          <w:szCs w:val="28"/>
          <w:lang w:val="en-US" w:eastAsia="zh-CN" w:bidi="ar-SA"/>
        </w:rPr>
        <w:t>2、重点加快推进完善农村客运网络化建设，以推动农村客运高质量发展为目标，对全县8个乡镇的公路通行状况进行了详尽的普查，根据道路通行状况对部分客运线路进行了优化调整；突出“客邮”融合发展，打通64个行政村邮政网点班线客车带货最后一公里；大兴生态环保、力倡新能源发展理念，鼓励3家出租汽车运输企业更新纯电动80辆，并积极申报2500万新能源充电站建设项目，为逐步实现城市客运零排放、无污染总体目标打下了坚实基础，成效显著。</w:t>
      </w:r>
    </w:p>
    <w:p>
      <w:pPr>
        <w:pStyle w:val="24"/>
        <w:pageBreakBefore w:val="0"/>
        <w:numPr>
          <w:ilvl w:val="0"/>
          <w:numId w:val="0"/>
        </w:numPr>
        <w:tabs>
          <w:tab w:val="left" w:pos="312"/>
        </w:tabs>
        <w:kinsoku/>
        <w:wordWrap/>
        <w:overflowPunct/>
        <w:topLinePunct w:val="0"/>
        <w:autoSpaceDE/>
        <w:autoSpaceDN/>
        <w:bidi w:val="0"/>
        <w:adjustRightInd/>
        <w:spacing w:line="560" w:lineRule="exact"/>
        <w:ind w:firstLine="544" w:firstLineChars="200"/>
        <w:rPr>
          <w:rStyle w:val="19"/>
          <w:rFonts w:hint="eastAsia" w:ascii="仿宋_GB2312" w:hAnsi="宋体" w:eastAsia="仿宋_GB2312" w:cstheme="minorBidi"/>
          <w:b w:val="0"/>
          <w:bCs w:val="0"/>
          <w:spacing w:val="-4"/>
          <w:kern w:val="2"/>
          <w:sz w:val="28"/>
          <w:szCs w:val="28"/>
          <w:lang w:val="en-US" w:eastAsia="zh-CN" w:bidi="ar-SA"/>
        </w:rPr>
      </w:pPr>
      <w:r>
        <w:rPr>
          <w:rStyle w:val="19"/>
          <w:rFonts w:hint="eastAsia" w:ascii="仿宋_GB2312" w:hAnsi="宋体" w:eastAsia="仿宋_GB2312" w:cstheme="minorBidi"/>
          <w:b w:val="0"/>
          <w:bCs w:val="0"/>
          <w:spacing w:val="-4"/>
          <w:kern w:val="2"/>
          <w:sz w:val="28"/>
          <w:szCs w:val="28"/>
          <w:lang w:val="en-US" w:eastAsia="zh-CN" w:bidi="ar-SA"/>
        </w:rPr>
        <w:t>3、我局紧紧围绕县委、县政府创建国家全域旅游示范区的决策部署，持续深入地打造“外快内畅、互联互通”的伊犁旅游大环线交通枢纽，逐步构建多元立体的交通运输网络，交通基础设施建设全面达标，群众满意度高。</w:t>
      </w:r>
    </w:p>
    <w:p>
      <w:pPr>
        <w:pStyle w:val="5"/>
        <w:pageBreakBefore w:val="0"/>
        <w:kinsoku/>
        <w:wordWrap/>
        <w:overflowPunct/>
        <w:topLinePunct w:val="0"/>
        <w:autoSpaceDE/>
        <w:autoSpaceDN/>
        <w:bidi w:val="0"/>
        <w:adjustRightInd/>
        <w:spacing w:before="0" w:after="0" w:line="560" w:lineRule="exact"/>
        <w:ind w:firstLine="643" w:firstLineChars="200"/>
        <w:rPr>
          <w:rStyle w:val="19"/>
          <w:rFonts w:hint="eastAsia" w:ascii="仿宋_GB2312" w:hAnsi="仿宋_GB2312" w:eastAsia="仿宋_GB2312" w:cs="仿宋_GB2312"/>
          <w:b/>
          <w:bCs/>
          <w:highlight w:val="none"/>
        </w:rPr>
      </w:pPr>
      <w:bookmarkStart w:id="29" w:name="_Toc70450316"/>
      <w:r>
        <w:rPr>
          <w:rStyle w:val="19"/>
          <w:rFonts w:hint="eastAsia" w:ascii="仿宋_GB2312" w:hAnsi="仿宋_GB2312" w:eastAsia="仿宋_GB2312" w:cs="仿宋_GB2312"/>
          <w:b/>
          <w:bCs/>
          <w:highlight w:val="none"/>
        </w:rPr>
        <w:t>（三）有效性评价</w:t>
      </w:r>
      <w:bookmarkEnd w:id="29"/>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eastAsia="仿宋_GB2312" w:hAnsiTheme="minorEastAsia"/>
          <w:b w:val="0"/>
          <w:spacing w:val="-4"/>
          <w:sz w:val="28"/>
          <w:szCs w:val="28"/>
          <w:lang w:eastAsia="zh-CN"/>
        </w:rPr>
      </w:pPr>
      <w:r>
        <w:rPr>
          <w:rStyle w:val="19"/>
          <w:rFonts w:hint="eastAsia" w:ascii="仿宋_GB2312" w:eastAsia="仿宋_GB2312" w:hAnsiTheme="minorEastAsia"/>
          <w:b w:val="0"/>
          <w:spacing w:val="-4"/>
          <w:sz w:val="28"/>
          <w:szCs w:val="28"/>
          <w:lang w:eastAsia="zh-CN"/>
        </w:rPr>
        <w:t>202</w:t>
      </w:r>
      <w:r>
        <w:rPr>
          <w:rStyle w:val="19"/>
          <w:rFonts w:hint="eastAsia" w:ascii="仿宋_GB2312" w:eastAsia="仿宋_GB2312" w:hAnsiTheme="minorEastAsia"/>
          <w:b w:val="0"/>
          <w:spacing w:val="-4"/>
          <w:sz w:val="28"/>
          <w:szCs w:val="28"/>
          <w:lang w:val="en-US" w:eastAsia="zh-CN"/>
        </w:rPr>
        <w:t>1</w:t>
      </w:r>
      <w:r>
        <w:rPr>
          <w:rStyle w:val="19"/>
          <w:rFonts w:hint="eastAsia" w:ascii="仿宋_GB2312" w:eastAsia="仿宋_GB2312" w:hAnsiTheme="minorEastAsia"/>
          <w:b w:val="0"/>
          <w:spacing w:val="-4"/>
          <w:sz w:val="28"/>
          <w:szCs w:val="28"/>
          <w:lang w:eastAsia="zh-CN"/>
        </w:rPr>
        <w:t>年部门支出的有效性主要体现在我单位各项工作成效上，一是</w:t>
      </w:r>
      <w:r>
        <w:rPr>
          <w:rStyle w:val="19"/>
          <w:rFonts w:hint="eastAsia" w:ascii="仿宋_GB2312" w:eastAsia="仿宋_GB2312" w:hAnsiTheme="minorEastAsia"/>
          <w:b w:val="0"/>
          <w:spacing w:val="-4"/>
          <w:sz w:val="28"/>
          <w:szCs w:val="28"/>
          <w:lang w:val="en-US" w:eastAsia="zh-CN"/>
        </w:rPr>
        <w:t>组织机构</w:t>
      </w:r>
      <w:r>
        <w:rPr>
          <w:rStyle w:val="19"/>
          <w:rFonts w:hint="eastAsia" w:ascii="仿宋_GB2312" w:eastAsia="仿宋_GB2312" w:hAnsiTheme="minorEastAsia"/>
          <w:b w:val="0"/>
          <w:spacing w:val="-4"/>
          <w:sz w:val="28"/>
          <w:szCs w:val="28"/>
          <w:lang w:eastAsia="zh-CN"/>
        </w:rPr>
        <w:t>进一步夯实，二是</w:t>
      </w:r>
      <w:r>
        <w:rPr>
          <w:rStyle w:val="19"/>
          <w:rFonts w:hint="eastAsia" w:ascii="仿宋_GB2312" w:eastAsia="仿宋_GB2312" w:hAnsiTheme="minorEastAsia"/>
          <w:b w:val="0"/>
          <w:spacing w:val="-4"/>
          <w:sz w:val="28"/>
          <w:szCs w:val="28"/>
          <w:lang w:val="en-US" w:eastAsia="zh-CN"/>
        </w:rPr>
        <w:t>总体绩效管理</w:t>
      </w:r>
      <w:r>
        <w:rPr>
          <w:rStyle w:val="19"/>
          <w:rFonts w:hint="eastAsia" w:ascii="仿宋_GB2312" w:eastAsia="仿宋_GB2312" w:hAnsiTheme="minorEastAsia"/>
          <w:b w:val="0"/>
          <w:spacing w:val="-4"/>
          <w:sz w:val="28"/>
          <w:szCs w:val="28"/>
          <w:lang w:eastAsia="zh-CN"/>
        </w:rPr>
        <w:t>能力进一步提升，三是</w:t>
      </w:r>
      <w:r>
        <w:rPr>
          <w:rStyle w:val="19"/>
          <w:rFonts w:hint="eastAsia" w:ascii="仿宋_GB2312" w:eastAsia="仿宋_GB2312" w:hAnsiTheme="minorEastAsia"/>
          <w:b w:val="0"/>
          <w:spacing w:val="-4"/>
          <w:sz w:val="28"/>
          <w:szCs w:val="28"/>
          <w:lang w:val="en-US" w:eastAsia="zh-CN"/>
        </w:rPr>
        <w:t>各项内部控制机制</w:t>
      </w:r>
      <w:r>
        <w:rPr>
          <w:rStyle w:val="19"/>
          <w:rFonts w:hint="eastAsia" w:ascii="仿宋_GB2312" w:eastAsia="仿宋_GB2312" w:hAnsiTheme="minorEastAsia"/>
          <w:b w:val="0"/>
          <w:spacing w:val="-4"/>
          <w:sz w:val="28"/>
          <w:szCs w:val="28"/>
          <w:lang w:eastAsia="zh-CN"/>
        </w:rPr>
        <w:t>进一步改善，四是</w:t>
      </w:r>
      <w:r>
        <w:rPr>
          <w:rStyle w:val="19"/>
          <w:rFonts w:hint="eastAsia" w:ascii="仿宋_GB2312" w:eastAsia="仿宋_GB2312" w:hAnsiTheme="minorEastAsia"/>
          <w:b w:val="0"/>
          <w:spacing w:val="-4"/>
          <w:sz w:val="28"/>
          <w:szCs w:val="28"/>
          <w:lang w:val="en-US" w:eastAsia="zh-CN"/>
        </w:rPr>
        <w:t>全体干部责任意识</w:t>
      </w:r>
      <w:r>
        <w:rPr>
          <w:rStyle w:val="19"/>
          <w:rFonts w:hint="eastAsia" w:ascii="仿宋_GB2312" w:eastAsia="仿宋_GB2312" w:hAnsiTheme="minorEastAsia"/>
          <w:b w:val="0"/>
          <w:spacing w:val="-4"/>
          <w:sz w:val="28"/>
          <w:szCs w:val="28"/>
          <w:lang w:eastAsia="zh-CN"/>
        </w:rPr>
        <w:t>进一步提高，五是</w:t>
      </w:r>
      <w:r>
        <w:rPr>
          <w:rStyle w:val="19"/>
          <w:rFonts w:hint="eastAsia" w:ascii="仿宋_GB2312" w:eastAsia="仿宋_GB2312" w:hAnsiTheme="minorEastAsia"/>
          <w:b w:val="0"/>
          <w:spacing w:val="-4"/>
          <w:sz w:val="28"/>
          <w:szCs w:val="28"/>
          <w:lang w:val="en-US" w:eastAsia="zh-CN"/>
        </w:rPr>
        <w:t>交通领域重点工作得到了持续</w:t>
      </w:r>
      <w:r>
        <w:rPr>
          <w:rStyle w:val="19"/>
          <w:rFonts w:hint="eastAsia" w:ascii="仿宋_GB2312" w:eastAsia="仿宋_GB2312" w:hAnsiTheme="minorEastAsia"/>
          <w:b w:val="0"/>
          <w:spacing w:val="-4"/>
          <w:sz w:val="28"/>
          <w:szCs w:val="28"/>
          <w:lang w:eastAsia="zh-CN"/>
        </w:rPr>
        <w:t>推进，</w:t>
      </w:r>
      <w:r>
        <w:rPr>
          <w:rStyle w:val="19"/>
          <w:rFonts w:hint="eastAsia" w:ascii="仿宋_GB2312" w:eastAsia="仿宋_GB2312" w:hAnsiTheme="minorEastAsia"/>
          <w:b w:val="0"/>
          <w:spacing w:val="-4"/>
          <w:sz w:val="28"/>
          <w:szCs w:val="28"/>
          <w:lang w:val="en-US" w:eastAsia="zh-CN"/>
        </w:rPr>
        <w:t>六</w:t>
      </w:r>
      <w:r>
        <w:rPr>
          <w:rStyle w:val="19"/>
          <w:rFonts w:hint="eastAsia" w:ascii="仿宋_GB2312" w:eastAsia="仿宋_GB2312" w:hAnsiTheme="minorEastAsia"/>
          <w:b w:val="0"/>
          <w:spacing w:val="-4"/>
          <w:sz w:val="28"/>
          <w:szCs w:val="28"/>
          <w:lang w:eastAsia="zh-CN"/>
        </w:rPr>
        <w:t>是执法水平进一步增强，详细情况如下：</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eastAsia="仿宋_GB2312" w:hAnsiTheme="minorEastAsia"/>
          <w:b w:val="0"/>
          <w:spacing w:val="-4"/>
          <w:sz w:val="28"/>
          <w:szCs w:val="28"/>
        </w:rPr>
      </w:pPr>
      <w:r>
        <w:rPr>
          <w:rStyle w:val="19"/>
          <w:rFonts w:hint="eastAsia" w:ascii="仿宋_GB2312" w:eastAsia="仿宋_GB2312" w:hAnsiTheme="minorEastAsia"/>
          <w:b w:val="0"/>
          <w:spacing w:val="-4"/>
          <w:sz w:val="28"/>
          <w:szCs w:val="28"/>
          <w:lang w:eastAsia="zh-CN"/>
        </w:rPr>
        <w:t>特克斯县交通运输局</w:t>
      </w:r>
      <w:r>
        <w:rPr>
          <w:rStyle w:val="19"/>
          <w:rFonts w:hint="eastAsia" w:ascii="仿宋_GB2312" w:eastAsia="仿宋_GB2312" w:hAnsiTheme="minorEastAsia"/>
          <w:b w:val="0"/>
          <w:spacing w:val="-4"/>
          <w:sz w:val="28"/>
          <w:szCs w:val="28"/>
        </w:rPr>
        <w:t xml:space="preserve">整体绩效目标共设置一级指标 </w:t>
      </w:r>
      <w:r>
        <w:rPr>
          <w:rStyle w:val="19"/>
          <w:rFonts w:hint="eastAsia" w:ascii="仿宋_GB2312" w:eastAsia="仿宋_GB2312" w:hAnsiTheme="minorEastAsia"/>
          <w:b w:val="0"/>
          <w:spacing w:val="-4"/>
          <w:sz w:val="28"/>
          <w:szCs w:val="28"/>
          <w:lang w:val="en-US" w:eastAsia="zh-CN"/>
        </w:rPr>
        <w:t>3</w:t>
      </w:r>
      <w:r>
        <w:rPr>
          <w:rStyle w:val="19"/>
          <w:rFonts w:hint="eastAsia" w:ascii="仿宋_GB2312" w:eastAsia="仿宋_GB2312" w:hAnsiTheme="minorEastAsia"/>
          <w:b w:val="0"/>
          <w:spacing w:val="-4"/>
          <w:sz w:val="28"/>
          <w:szCs w:val="28"/>
        </w:rPr>
        <w:t>个，二级指标</w:t>
      </w:r>
      <w:r>
        <w:rPr>
          <w:rStyle w:val="19"/>
          <w:rFonts w:hint="eastAsia" w:ascii="仿宋_GB2312" w:eastAsia="仿宋_GB2312" w:hAnsiTheme="minorEastAsia"/>
          <w:b w:val="0"/>
          <w:spacing w:val="-4"/>
          <w:sz w:val="28"/>
          <w:szCs w:val="28"/>
          <w:lang w:val="en-US" w:eastAsia="zh-CN"/>
        </w:rPr>
        <w:t>9</w:t>
      </w:r>
      <w:r>
        <w:rPr>
          <w:rStyle w:val="19"/>
          <w:rFonts w:hint="eastAsia" w:ascii="仿宋_GB2312" w:eastAsia="仿宋_GB2312" w:hAnsiTheme="minorEastAsia"/>
          <w:b w:val="0"/>
          <w:spacing w:val="-4"/>
          <w:sz w:val="28"/>
          <w:szCs w:val="28"/>
        </w:rPr>
        <w:t>个，三级指标</w:t>
      </w:r>
      <w:r>
        <w:rPr>
          <w:rStyle w:val="19"/>
          <w:rFonts w:hint="eastAsia" w:ascii="仿宋_GB2312" w:eastAsia="仿宋_GB2312" w:hAnsiTheme="minorEastAsia"/>
          <w:b w:val="0"/>
          <w:spacing w:val="-4"/>
          <w:sz w:val="28"/>
          <w:szCs w:val="28"/>
          <w:lang w:val="en-US" w:eastAsia="zh-CN"/>
        </w:rPr>
        <w:t>15</w:t>
      </w:r>
      <w:r>
        <w:rPr>
          <w:rStyle w:val="19"/>
          <w:rFonts w:hint="eastAsia" w:ascii="仿宋_GB2312" w:eastAsia="仿宋_GB2312" w:hAnsiTheme="minorEastAsia"/>
          <w:b w:val="0"/>
          <w:spacing w:val="-4"/>
          <w:sz w:val="28"/>
          <w:szCs w:val="28"/>
        </w:rPr>
        <w:t>个，详细说明如下</w:t>
      </w:r>
    </w:p>
    <w:p>
      <w:pPr>
        <w:pageBreakBefore w:val="0"/>
        <w:numPr>
          <w:ilvl w:val="0"/>
          <w:numId w:val="3"/>
        </w:numPr>
        <w:kinsoku/>
        <w:wordWrap/>
        <w:overflowPunct/>
        <w:topLinePunct w:val="0"/>
        <w:autoSpaceDE/>
        <w:autoSpaceDN/>
        <w:bidi w:val="0"/>
        <w:adjustRightInd/>
        <w:snapToGrid w:val="0"/>
        <w:spacing w:line="560" w:lineRule="exact"/>
        <w:ind w:firstLine="544" w:firstLineChars="200"/>
        <w:rPr>
          <w:rStyle w:val="19"/>
          <w:rFonts w:hint="eastAsia" w:ascii="仿宋_GB2312" w:hAnsi="宋体" w:eastAsia="仿宋_GB2312"/>
          <w:b w:val="0"/>
          <w:spacing w:val="-4"/>
          <w:sz w:val="28"/>
          <w:szCs w:val="28"/>
        </w:rPr>
      </w:pPr>
      <w:r>
        <w:rPr>
          <w:rStyle w:val="19"/>
          <w:rFonts w:hint="eastAsia" w:ascii="仿宋_GB2312" w:hAnsi="宋体" w:eastAsia="仿宋_GB2312"/>
          <w:b w:val="0"/>
          <w:spacing w:val="-4"/>
          <w:sz w:val="28"/>
          <w:szCs w:val="28"/>
        </w:rPr>
        <w:t>数量指标：</w:t>
      </w:r>
    </w:p>
    <w:p>
      <w:pPr>
        <w:pageBreakBefore w:val="0"/>
        <w:numPr>
          <w:numId w:val="0"/>
        </w:numPr>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指标1：保障单位实有人数 ，指标值：≧24人 ，实际完成值：2</w:t>
      </w:r>
      <w:r>
        <w:rPr>
          <w:rStyle w:val="19"/>
          <w:rFonts w:hint="eastAsia" w:ascii="仿宋_GB2312" w:hAnsi="宋体" w:eastAsia="仿宋_GB2312"/>
          <w:b w:val="0"/>
          <w:spacing w:val="-4"/>
          <w:sz w:val="28"/>
          <w:szCs w:val="28"/>
          <w:highlight w:val="none"/>
          <w:lang w:val="en-US" w:eastAsia="zh-CN"/>
        </w:rPr>
        <w:t>4</w:t>
      </w:r>
      <w:r>
        <w:rPr>
          <w:rStyle w:val="19"/>
          <w:rFonts w:hint="eastAsia" w:ascii="仿宋_GB2312" w:hAnsi="宋体" w:eastAsia="仿宋_GB2312"/>
          <w:b w:val="0"/>
          <w:spacing w:val="-4"/>
          <w:sz w:val="28"/>
          <w:szCs w:val="28"/>
          <w:highlight w:val="none"/>
          <w:lang w:eastAsia="zh-CN"/>
        </w:rPr>
        <w:t>人</w:t>
      </w:r>
      <w:r>
        <w:rPr>
          <w:rStyle w:val="19"/>
          <w:rFonts w:hint="eastAsia" w:ascii="仿宋_GB2312" w:hAnsi="宋体" w:eastAsia="仿宋_GB2312"/>
          <w:b w:val="0"/>
          <w:spacing w:val="-4"/>
          <w:sz w:val="28"/>
          <w:szCs w:val="28"/>
          <w:highlight w:val="none"/>
        </w:rPr>
        <w:t>，指标完成率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：单位下设设科室及所属单位数，指标值：=3个</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，实际完成值：3</w:t>
      </w:r>
      <w:r>
        <w:rPr>
          <w:rStyle w:val="19"/>
          <w:rFonts w:hint="eastAsia" w:ascii="仿宋_GB2312" w:hAnsi="宋体" w:eastAsia="仿宋_GB2312"/>
          <w:b w:val="0"/>
          <w:spacing w:val="-4"/>
          <w:sz w:val="28"/>
          <w:szCs w:val="28"/>
          <w:highlight w:val="none"/>
          <w:lang w:eastAsia="zh-CN"/>
        </w:rPr>
        <w:t>个</w:t>
      </w:r>
      <w:r>
        <w:rPr>
          <w:rStyle w:val="19"/>
          <w:rFonts w:hint="eastAsia" w:ascii="仿宋_GB2312" w:hAnsi="宋体" w:eastAsia="仿宋_GB2312"/>
          <w:b w:val="0"/>
          <w:spacing w:val="-4"/>
          <w:sz w:val="28"/>
          <w:szCs w:val="28"/>
          <w:highlight w:val="none"/>
        </w:rPr>
        <w:t>，指标完成率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、质量指标：</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指标1：全局人员工资、社保正常发放准确率，指标值：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100%，实际完成值：</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3</w:t>
      </w:r>
      <w:r>
        <w:rPr>
          <w:rStyle w:val="19"/>
          <w:rFonts w:hint="eastAsia" w:ascii="仿宋_GB2312" w:hAnsi="宋体" w:eastAsia="仿宋_GB2312"/>
          <w:b w:val="0"/>
          <w:spacing w:val="-4"/>
          <w:sz w:val="28"/>
          <w:szCs w:val="28"/>
          <w:highlight w:val="none"/>
        </w:rPr>
        <w:t>、时效指标：</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 工资及社保发放及时性 ，指标值：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 ，实际完成值： 100% ，指标完成率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：公用经费支付及时性，指标值：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100%，实际完成值： 100% ，指标完成率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4</w:t>
      </w:r>
      <w:r>
        <w:rPr>
          <w:rStyle w:val="19"/>
          <w:rFonts w:hint="eastAsia" w:ascii="仿宋_GB2312" w:hAnsi="宋体" w:eastAsia="仿宋_GB2312"/>
          <w:b w:val="0"/>
          <w:spacing w:val="-4"/>
          <w:sz w:val="28"/>
          <w:szCs w:val="28"/>
          <w:highlight w:val="none"/>
        </w:rPr>
        <w:t>、成本指标：</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指标1：人均支出标准，指标值：≤9.82万元，实际完成值：9.82万元 ，指标完成率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：人均运转经费数</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，指标值</w:t>
      </w:r>
      <w:r>
        <w:rPr>
          <w:rStyle w:val="19"/>
          <w:rFonts w:hint="eastAsia" w:ascii="仿宋_GB2312" w:hAnsi="宋体" w:eastAsia="仿宋_GB2312"/>
          <w:b w:val="0"/>
          <w:spacing w:val="-4"/>
          <w:sz w:val="28"/>
          <w:szCs w:val="28"/>
          <w:highlight w:val="none"/>
          <w:lang w:eastAsia="zh-CN"/>
        </w:rPr>
        <w:t>：</w:t>
      </w:r>
      <w:r>
        <w:rPr>
          <w:rStyle w:val="19"/>
          <w:rFonts w:hint="eastAsia" w:ascii="仿宋_GB2312" w:hAnsi="宋体" w:eastAsia="仿宋_GB2312"/>
          <w:b w:val="0"/>
          <w:spacing w:val="-4"/>
          <w:sz w:val="28"/>
          <w:szCs w:val="28"/>
          <w:highlight w:val="none"/>
        </w:rPr>
        <w:t>≤5.6万元，实际完成值：5.6</w:t>
      </w:r>
      <w:r>
        <w:rPr>
          <w:rStyle w:val="19"/>
          <w:rFonts w:hint="eastAsia" w:ascii="仿宋_GB2312" w:hAnsi="宋体" w:eastAsia="仿宋_GB2312"/>
          <w:b w:val="0"/>
          <w:spacing w:val="-4"/>
          <w:sz w:val="28"/>
          <w:szCs w:val="28"/>
          <w:highlight w:val="none"/>
          <w:lang w:eastAsia="zh-CN"/>
        </w:rPr>
        <w:t>万元</w:t>
      </w:r>
      <w:r>
        <w:rPr>
          <w:rStyle w:val="19"/>
          <w:rFonts w:hint="eastAsia" w:ascii="仿宋_GB2312" w:hAnsi="宋体" w:eastAsia="仿宋_GB2312"/>
          <w:b w:val="0"/>
          <w:spacing w:val="-4"/>
          <w:sz w:val="28"/>
          <w:szCs w:val="28"/>
          <w:highlight w:val="none"/>
        </w:rPr>
        <w:t xml:space="preserve"> ，指标完成率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5</w:t>
      </w:r>
      <w:r>
        <w:rPr>
          <w:rStyle w:val="19"/>
          <w:rFonts w:hint="eastAsia" w:ascii="仿宋_GB2312" w:hAnsi="宋体" w:eastAsia="仿宋_GB2312"/>
          <w:b w:val="0"/>
          <w:spacing w:val="-4"/>
          <w:sz w:val="28"/>
          <w:szCs w:val="28"/>
          <w:highlight w:val="none"/>
        </w:rPr>
        <w:t>、经济效益指标：</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指标1：较上年道路沿线居民收入人均提高，指标值：≥1000元</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，实际完成值1000元，指标完成率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6</w:t>
      </w:r>
      <w:r>
        <w:rPr>
          <w:rStyle w:val="19"/>
          <w:rFonts w:hint="eastAsia" w:ascii="仿宋_GB2312" w:hAnsi="宋体" w:eastAsia="仿宋_GB2312"/>
          <w:b w:val="0"/>
          <w:spacing w:val="-4"/>
          <w:sz w:val="28"/>
          <w:szCs w:val="28"/>
          <w:highlight w:val="none"/>
        </w:rPr>
        <w:t>、社会效益指标：</w:t>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 对14个企业安全生产检查达到全覆盖，指标值：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 ，实际完成值：100%，指标完成率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 深化放管服，落实落细政务“一站式”服务 ，指标值：逐步完善 ，实际完成值：逐步完善，指标完成率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w:t>
      </w:r>
      <w:r>
        <w:rPr>
          <w:rStyle w:val="19"/>
          <w:rFonts w:hint="eastAsia" w:ascii="仿宋_GB2312" w:hAnsi="宋体" w:eastAsia="仿宋_GB2312"/>
          <w:b w:val="0"/>
          <w:spacing w:val="-4"/>
          <w:sz w:val="28"/>
          <w:szCs w:val="28"/>
          <w:highlight w:val="none"/>
          <w:lang w:val="en-US" w:eastAsia="zh-CN"/>
        </w:rPr>
        <w:t>3</w:t>
      </w:r>
      <w:r>
        <w:rPr>
          <w:rStyle w:val="19"/>
          <w:rFonts w:hint="eastAsia" w:ascii="仿宋_GB2312" w:hAnsi="宋体" w:eastAsia="仿宋_GB2312"/>
          <w:b w:val="0"/>
          <w:spacing w:val="-4"/>
          <w:sz w:val="28"/>
          <w:szCs w:val="28"/>
          <w:highlight w:val="none"/>
        </w:rPr>
        <w:t>： 确保局机关日常工作运转，指标值：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 ，实际完成值：100%，指标完成率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numPr>
          <w:ilvl w:val="0"/>
          <w:numId w:val="4"/>
        </w:numPr>
        <w:kinsoku/>
        <w:wordWrap/>
        <w:overflowPunct/>
        <w:topLinePunct w:val="0"/>
        <w:autoSpaceDE/>
        <w:autoSpaceDN/>
        <w:bidi w:val="0"/>
        <w:adjustRightInd/>
        <w:snapToGrid w:val="0"/>
        <w:spacing w:line="560" w:lineRule="exact"/>
        <w:ind w:firstLine="544" w:firstLineChars="200"/>
        <w:rPr>
          <w:rStyle w:val="19"/>
          <w:rFonts w:hint="eastAsia"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生态效益指标：</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p>
    <w:p>
      <w:pPr>
        <w:pageBreakBefore w:val="0"/>
        <w:numPr>
          <w:ilvl w:val="0"/>
          <w:numId w:val="0"/>
        </w:numPr>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指标1：项目完工后对开垦的料场进行植被恢复，指标值：</w:t>
      </w:r>
      <w:r>
        <w:rPr>
          <w:rStyle w:val="19"/>
          <w:rFonts w:hint="eastAsia" w:ascii="仿宋_GB2312" w:hAnsi="宋体" w:eastAsia="仿宋_GB2312"/>
          <w:b w:val="0"/>
          <w:spacing w:val="-4"/>
          <w:sz w:val="28"/>
          <w:szCs w:val="28"/>
          <w:highlight w:val="none"/>
          <w:lang w:val="en-US" w:eastAsia="zh-CN"/>
        </w:rPr>
        <w:t>=</w:t>
      </w:r>
      <w:r>
        <w:rPr>
          <w:rStyle w:val="19"/>
          <w:rFonts w:hint="eastAsia" w:ascii="仿宋_GB2312" w:hAnsi="宋体" w:eastAsia="仿宋_GB2312"/>
          <w:b w:val="0"/>
          <w:spacing w:val="-4"/>
          <w:sz w:val="28"/>
          <w:szCs w:val="28"/>
          <w:highlight w:val="none"/>
        </w:rPr>
        <w:t>100% ，实际完成值：100%，指标完成率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8</w:t>
      </w:r>
      <w:r>
        <w:rPr>
          <w:rStyle w:val="19"/>
          <w:rFonts w:hint="eastAsia" w:ascii="仿宋_GB2312" w:hAnsi="宋体" w:eastAsia="仿宋_GB2312"/>
          <w:b w:val="0"/>
          <w:spacing w:val="-4"/>
          <w:sz w:val="28"/>
          <w:szCs w:val="28"/>
          <w:highlight w:val="none"/>
        </w:rPr>
        <w:t>、可持续影响指标：</w:t>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指标1：道路可使用年限，指标值</w:t>
      </w:r>
      <w:r>
        <w:rPr>
          <w:rStyle w:val="19"/>
          <w:rFonts w:hint="eastAsia" w:ascii="仿宋_GB2312" w:hAnsi="宋体" w:eastAsia="仿宋_GB2312"/>
          <w:b w:val="0"/>
          <w:spacing w:val="-4"/>
          <w:sz w:val="28"/>
          <w:szCs w:val="28"/>
          <w:highlight w:val="none"/>
          <w:lang w:eastAsia="zh-CN"/>
        </w:rPr>
        <w:t>：≥</w:t>
      </w:r>
      <w:r>
        <w:rPr>
          <w:rStyle w:val="19"/>
          <w:rFonts w:hint="eastAsia" w:ascii="仿宋_GB2312" w:hAnsi="宋体" w:eastAsia="仿宋_GB2312"/>
          <w:b w:val="0"/>
          <w:spacing w:val="-4"/>
          <w:sz w:val="28"/>
          <w:szCs w:val="28"/>
          <w:highlight w:val="none"/>
        </w:rPr>
        <w:t>8年</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，实际完成值： 10年，指标完成率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ascii="仿宋_GB2312" w:hAnsi="宋体" w:eastAsia="仿宋_GB2312"/>
          <w:b w:val="0"/>
          <w:spacing w:val="-4"/>
          <w:sz w:val="28"/>
          <w:szCs w:val="28"/>
          <w:highlight w:val="none"/>
        </w:rPr>
        <w:t>9</w:t>
      </w:r>
      <w:r>
        <w:rPr>
          <w:rStyle w:val="19"/>
          <w:rFonts w:hint="eastAsia" w:ascii="仿宋_GB2312" w:hAnsi="宋体" w:eastAsia="仿宋_GB2312"/>
          <w:b w:val="0"/>
          <w:spacing w:val="-4"/>
          <w:sz w:val="28"/>
          <w:szCs w:val="28"/>
          <w:highlight w:val="none"/>
        </w:rPr>
        <w:t xml:space="preserve">、满意度指标： </w:t>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r>
        <w:rPr>
          <w:rStyle w:val="19"/>
          <w:rFonts w:hint="eastAsia" w:ascii="仿宋_GB2312" w:hAnsi="宋体" w:eastAsia="仿宋_GB2312"/>
          <w:b w:val="0"/>
          <w:spacing w:val="-4"/>
          <w:sz w:val="28"/>
          <w:szCs w:val="28"/>
          <w:highlight w:val="none"/>
        </w:rPr>
        <w:tab/>
      </w:r>
    </w:p>
    <w:p>
      <w:pPr>
        <w:pageBreakBefore w:val="0"/>
        <w:kinsoku/>
        <w:wordWrap/>
        <w:overflowPunct/>
        <w:topLinePunct w:val="0"/>
        <w:autoSpaceDE/>
        <w:autoSpaceDN/>
        <w:bidi w:val="0"/>
        <w:adjustRightInd/>
        <w:snapToGrid w:val="0"/>
        <w:spacing w:line="560" w:lineRule="exact"/>
        <w:ind w:firstLine="544" w:firstLineChars="200"/>
        <w:rPr>
          <w:rStyle w:val="19"/>
          <w:rFonts w:ascii="仿宋_GB2312" w:hAnsi="宋体" w:eastAsia="仿宋_GB2312"/>
          <w:b w:val="0"/>
          <w:spacing w:val="-4"/>
          <w:sz w:val="28"/>
          <w:szCs w:val="28"/>
          <w:highlight w:val="none"/>
        </w:rPr>
      </w:pPr>
      <w:r>
        <w:rPr>
          <w:rStyle w:val="19"/>
          <w:rFonts w:hint="eastAsia" w:ascii="仿宋_GB2312" w:hAnsi="宋体" w:eastAsia="仿宋_GB2312"/>
          <w:b w:val="0"/>
          <w:spacing w:val="-4"/>
          <w:sz w:val="28"/>
          <w:szCs w:val="28"/>
          <w:highlight w:val="none"/>
        </w:rPr>
        <w:t>指标1：交通运输服务对象满意度，指标值：93% ，实际完成值：95%，指标完成率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hAnsi="宋体" w:eastAsiaTheme="minorEastAsia"/>
          <w:b w:val="0"/>
          <w:bCs w:val="0"/>
          <w:color w:val="FF0000"/>
          <w:spacing w:val="-4"/>
          <w:sz w:val="28"/>
          <w:szCs w:val="28"/>
          <w:highlight w:val="none"/>
          <w:lang w:eastAsia="zh-CN"/>
        </w:rPr>
      </w:pPr>
      <w:r>
        <w:rPr>
          <w:rStyle w:val="19"/>
          <w:rFonts w:hint="eastAsia" w:ascii="仿宋_GB2312" w:hAnsi="宋体" w:eastAsia="仿宋_GB2312"/>
          <w:b w:val="0"/>
          <w:spacing w:val="-4"/>
          <w:sz w:val="28"/>
          <w:szCs w:val="28"/>
          <w:highlight w:val="none"/>
        </w:rPr>
        <w:t>指标</w:t>
      </w:r>
      <w:r>
        <w:rPr>
          <w:rStyle w:val="19"/>
          <w:rFonts w:ascii="仿宋_GB2312" w:hAnsi="宋体" w:eastAsia="仿宋_GB2312"/>
          <w:b w:val="0"/>
          <w:spacing w:val="-4"/>
          <w:sz w:val="28"/>
          <w:szCs w:val="28"/>
          <w:highlight w:val="none"/>
        </w:rPr>
        <w:t>2</w:t>
      </w:r>
      <w:r>
        <w:rPr>
          <w:rStyle w:val="19"/>
          <w:rFonts w:hint="eastAsia" w:ascii="仿宋_GB2312" w:hAnsi="宋体" w:eastAsia="仿宋_GB2312"/>
          <w:b w:val="0"/>
          <w:spacing w:val="-4"/>
          <w:sz w:val="28"/>
          <w:szCs w:val="28"/>
          <w:highlight w:val="none"/>
        </w:rPr>
        <w:t>：相关企业满意度，指标值：93% ，实际完成值：9</w:t>
      </w:r>
      <w:r>
        <w:rPr>
          <w:rStyle w:val="19"/>
          <w:rFonts w:hint="eastAsia" w:ascii="仿宋_GB2312" w:hAnsi="宋体" w:eastAsia="仿宋_GB2312"/>
          <w:b w:val="0"/>
          <w:spacing w:val="-4"/>
          <w:sz w:val="28"/>
          <w:szCs w:val="28"/>
          <w:highlight w:val="none"/>
          <w:lang w:val="en-US" w:eastAsia="zh-CN"/>
        </w:rPr>
        <w:t>3</w:t>
      </w:r>
      <w:r>
        <w:rPr>
          <w:rStyle w:val="19"/>
          <w:rFonts w:hint="eastAsia" w:ascii="仿宋_GB2312" w:hAnsi="宋体" w:eastAsia="仿宋_GB2312"/>
          <w:b w:val="0"/>
          <w:spacing w:val="-4"/>
          <w:sz w:val="28"/>
          <w:szCs w:val="28"/>
          <w:highlight w:val="none"/>
        </w:rPr>
        <w:t>%，指标完成率</w:t>
      </w:r>
      <w:r>
        <w:rPr>
          <w:rStyle w:val="19"/>
          <w:rFonts w:hint="eastAsia" w:ascii="仿宋_GB2312" w:hAnsi="宋体" w:eastAsia="仿宋_GB2312"/>
          <w:b w:val="0"/>
          <w:spacing w:val="-4"/>
          <w:sz w:val="28"/>
          <w:szCs w:val="28"/>
          <w:highlight w:val="none"/>
          <w:lang w:val="en-US" w:eastAsia="zh-CN"/>
        </w:rPr>
        <w:t>100</w:t>
      </w:r>
      <w:r>
        <w:rPr>
          <w:rStyle w:val="19"/>
          <w:rFonts w:hint="eastAsia" w:ascii="仿宋_GB2312" w:hAnsi="宋体" w:eastAsia="仿宋_GB2312"/>
          <w:b w:val="0"/>
          <w:spacing w:val="-4"/>
          <w:sz w:val="28"/>
          <w:szCs w:val="28"/>
          <w:highlight w:val="none"/>
        </w:rPr>
        <w:t>%</w:t>
      </w:r>
      <w:r>
        <w:rPr>
          <w:rStyle w:val="19"/>
          <w:rFonts w:hint="eastAsia" w:ascii="仿宋_GB2312" w:hAnsi="宋体" w:eastAsia="仿宋_GB2312" w:cs="Times New Roman"/>
          <w:b w:val="0"/>
          <w:spacing w:val="-4"/>
          <w:sz w:val="28"/>
          <w:szCs w:val="28"/>
          <w:highlight w:val="none"/>
          <w:lang w:eastAsia="zh-CN"/>
        </w:rPr>
        <w:t>。</w:t>
      </w:r>
    </w:p>
    <w:p>
      <w:pPr>
        <w:pStyle w:val="4"/>
        <w:pageBreakBefore w:val="0"/>
        <w:kinsoku/>
        <w:wordWrap/>
        <w:overflowPunct/>
        <w:topLinePunct w:val="0"/>
        <w:autoSpaceDE/>
        <w:autoSpaceDN/>
        <w:bidi w:val="0"/>
        <w:adjustRightInd/>
        <w:spacing w:before="0" w:after="0" w:line="560" w:lineRule="exact"/>
        <w:ind w:firstLine="723" w:firstLineChars="200"/>
        <w:rPr>
          <w:rFonts w:ascii="仿宋" w:hAnsi="仿宋" w:eastAsia="仿宋"/>
          <w:sz w:val="36"/>
          <w:szCs w:val="36"/>
          <w:lang w:bidi="ar"/>
        </w:rPr>
      </w:pPr>
      <w:bookmarkStart w:id="30" w:name="_Toc70450317"/>
      <w:r>
        <w:rPr>
          <w:rFonts w:hint="eastAsia" w:ascii="仿宋" w:hAnsi="仿宋" w:eastAsia="仿宋"/>
          <w:sz w:val="36"/>
          <w:szCs w:val="36"/>
          <w:lang w:bidi="ar"/>
        </w:rPr>
        <w:t>六、存在的主要问题</w:t>
      </w:r>
      <w:bookmarkEnd w:id="30"/>
    </w:p>
    <w:p>
      <w:pPr>
        <w:pageBreakBefore w:val="0"/>
        <w:kinsoku/>
        <w:wordWrap/>
        <w:overflowPunct/>
        <w:topLinePunct w:val="0"/>
        <w:autoSpaceDE/>
        <w:autoSpaceDN/>
        <w:bidi w:val="0"/>
        <w:adjustRightInd/>
        <w:snapToGrid w:val="0"/>
        <w:spacing w:line="560" w:lineRule="exact"/>
        <w:ind w:firstLine="544" w:firstLineChars="200"/>
        <w:rPr>
          <w:rFonts w:hint="default"/>
          <w:highlight w:val="none"/>
          <w:lang w:val="en-US" w:eastAsia="zh-CN"/>
        </w:rPr>
      </w:pPr>
      <w:r>
        <w:rPr>
          <w:rStyle w:val="19"/>
          <w:rFonts w:hint="eastAsia" w:ascii="仿宋_GB2312" w:hAnsi="宋体" w:eastAsia="仿宋_GB2312"/>
          <w:b w:val="0"/>
          <w:spacing w:val="-4"/>
          <w:sz w:val="28"/>
          <w:szCs w:val="28"/>
          <w:highlight w:val="none"/>
          <w:lang w:eastAsia="zh-CN"/>
        </w:rPr>
        <w:t>预算的前瞻性不够，年初预算时，对项目支出把握不准，导致实际支出与预算有一定的偏差。</w:t>
      </w:r>
      <w:r>
        <w:rPr>
          <w:rStyle w:val="19"/>
          <w:rFonts w:hint="eastAsia" w:ascii="仿宋_GB2312" w:hAnsi="宋体" w:eastAsia="仿宋_GB2312"/>
          <w:b w:val="0"/>
          <w:spacing w:val="-4"/>
          <w:sz w:val="28"/>
          <w:szCs w:val="28"/>
          <w:highlight w:val="none"/>
          <w:lang w:val="en-US" w:eastAsia="zh-CN"/>
        </w:rPr>
        <w:t>部门预算应当遵循统筹兼顾、讲求绩效和收支平衡的原则，科学编制部门预算，结合部门实际情况和以前年度支出状况，加强预算收入和支出编制的可靠性和合理性。</w:t>
      </w:r>
    </w:p>
    <w:p>
      <w:pPr>
        <w:pStyle w:val="8"/>
        <w:rPr>
          <w:rFonts w:hint="eastAsia"/>
          <w:lang w:eastAsia="zh-CN"/>
        </w:rPr>
      </w:pPr>
    </w:p>
    <w:p>
      <w:pPr>
        <w:pStyle w:val="4"/>
        <w:pageBreakBefore w:val="0"/>
        <w:kinsoku/>
        <w:wordWrap/>
        <w:overflowPunct/>
        <w:topLinePunct w:val="0"/>
        <w:autoSpaceDE/>
        <w:autoSpaceDN/>
        <w:bidi w:val="0"/>
        <w:adjustRightInd/>
        <w:spacing w:before="0" w:after="0" w:line="560" w:lineRule="exact"/>
        <w:ind w:firstLine="723" w:firstLineChars="200"/>
        <w:rPr>
          <w:rFonts w:ascii="仿宋" w:hAnsi="仿宋" w:eastAsia="仿宋"/>
          <w:sz w:val="36"/>
          <w:szCs w:val="36"/>
          <w:lang w:bidi="ar"/>
        </w:rPr>
      </w:pPr>
      <w:bookmarkStart w:id="31" w:name="_Toc70450318"/>
      <w:r>
        <w:rPr>
          <w:rFonts w:hint="eastAsia" w:ascii="仿宋" w:hAnsi="仿宋" w:eastAsia="仿宋"/>
          <w:sz w:val="36"/>
          <w:szCs w:val="36"/>
          <w:lang w:bidi="ar"/>
        </w:rPr>
        <w:t>七、改进措施和建议</w:t>
      </w:r>
      <w:bookmarkEnd w:id="31"/>
    </w:p>
    <w:p>
      <w:pPr>
        <w:pStyle w:val="5"/>
        <w:pageBreakBefore w:val="0"/>
        <w:kinsoku/>
        <w:wordWrap/>
        <w:overflowPunct/>
        <w:topLinePunct w:val="0"/>
        <w:autoSpaceDE/>
        <w:autoSpaceDN/>
        <w:bidi w:val="0"/>
        <w:adjustRightInd/>
        <w:spacing w:before="0" w:after="0" w:line="560" w:lineRule="exact"/>
        <w:ind w:firstLine="643" w:firstLineChars="200"/>
        <w:rPr>
          <w:rStyle w:val="19"/>
          <w:rFonts w:hint="eastAsia" w:ascii="仿宋" w:hAnsi="仿宋" w:eastAsia="仿宋"/>
          <w:b/>
          <w:bCs/>
        </w:rPr>
      </w:pPr>
      <w:bookmarkStart w:id="32" w:name="_Toc70450319"/>
      <w:r>
        <w:rPr>
          <w:rStyle w:val="19"/>
          <w:rFonts w:hint="eastAsia" w:ascii="仿宋" w:hAnsi="仿宋" w:eastAsia="仿宋"/>
          <w:b/>
          <w:bCs/>
        </w:rPr>
        <w:t>（一）改进措施</w:t>
      </w:r>
      <w:bookmarkEnd w:id="32"/>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hAnsi="宋体" w:eastAsia="仿宋_GB2312"/>
          <w:b w:val="0"/>
          <w:spacing w:val="-4"/>
          <w:sz w:val="28"/>
          <w:szCs w:val="28"/>
          <w:lang w:eastAsia="zh-CN"/>
        </w:rPr>
      </w:pPr>
      <w:r>
        <w:rPr>
          <w:rStyle w:val="19"/>
          <w:rFonts w:hint="eastAsia" w:ascii="仿宋_GB2312" w:hAnsi="宋体" w:eastAsia="仿宋_GB2312"/>
          <w:b w:val="0"/>
          <w:spacing w:val="-4"/>
          <w:sz w:val="28"/>
          <w:szCs w:val="28"/>
          <w:lang w:val="en-US" w:eastAsia="zh-CN"/>
        </w:rPr>
        <w:t>1.</w:t>
      </w:r>
      <w:r>
        <w:rPr>
          <w:rStyle w:val="19"/>
          <w:rFonts w:hint="eastAsia" w:ascii="仿宋_GB2312" w:hAnsi="宋体" w:eastAsia="仿宋_GB2312"/>
          <w:b w:val="0"/>
          <w:spacing w:val="-4"/>
          <w:sz w:val="28"/>
          <w:szCs w:val="28"/>
          <w:lang w:eastAsia="zh-CN"/>
        </w:rPr>
        <w:t>加强学习。进一步明确如何参照考核体系，科学合理设定绩效目标，充分发挥预算绩效管理工作效用。</w:t>
      </w:r>
    </w:p>
    <w:p>
      <w:pPr>
        <w:pageBreakBefore w:val="0"/>
        <w:kinsoku/>
        <w:wordWrap/>
        <w:overflowPunct/>
        <w:topLinePunct w:val="0"/>
        <w:autoSpaceDE/>
        <w:autoSpaceDN/>
        <w:bidi w:val="0"/>
        <w:adjustRightInd/>
        <w:snapToGrid w:val="0"/>
        <w:spacing w:line="560" w:lineRule="exact"/>
        <w:ind w:firstLine="544" w:firstLineChars="200"/>
        <w:rPr>
          <w:rFonts w:ascii="仿宋" w:hAnsi="仿宋" w:eastAsia="仿宋"/>
          <w:sz w:val="22"/>
          <w:szCs w:val="28"/>
        </w:rPr>
      </w:pPr>
      <w:r>
        <w:rPr>
          <w:rStyle w:val="19"/>
          <w:rFonts w:hint="eastAsia" w:ascii="仿宋_GB2312" w:hAnsi="宋体" w:eastAsia="仿宋_GB2312"/>
          <w:b w:val="0"/>
          <w:spacing w:val="-4"/>
          <w:sz w:val="28"/>
          <w:szCs w:val="28"/>
          <w:lang w:val="en-US" w:eastAsia="zh-CN"/>
        </w:rPr>
        <w:t>2.</w:t>
      </w:r>
      <w:r>
        <w:rPr>
          <w:rStyle w:val="19"/>
          <w:rFonts w:hint="eastAsia" w:ascii="仿宋_GB2312" w:hAnsi="宋体" w:eastAsia="仿宋_GB2312"/>
          <w:b w:val="0"/>
          <w:spacing w:val="-4"/>
          <w:sz w:val="28"/>
          <w:szCs w:val="28"/>
          <w:lang w:eastAsia="zh-CN"/>
        </w:rPr>
        <w:t>科学合理编制预算，严格执行预算。加强预算编制的前瞻性，按照《预算法》及其实施条例的相关规定，按政策规定及本单位的发展规划，结合上一年度预算执行情况和本年度预算收支变化因素，科学，合理的编制本年预算，避免预算支出与实际执行出现较大偏差的情况，执行中确需调剂预算的，按规定程序报经批准。</w:t>
      </w:r>
    </w:p>
    <w:p>
      <w:pPr>
        <w:pStyle w:val="5"/>
        <w:pageBreakBefore w:val="0"/>
        <w:numPr>
          <w:ilvl w:val="0"/>
          <w:numId w:val="0"/>
        </w:numPr>
        <w:kinsoku/>
        <w:wordWrap/>
        <w:overflowPunct/>
        <w:topLinePunct w:val="0"/>
        <w:autoSpaceDE/>
        <w:autoSpaceDN/>
        <w:bidi w:val="0"/>
        <w:adjustRightInd/>
        <w:spacing w:before="0" w:after="0" w:line="560" w:lineRule="exact"/>
        <w:ind w:firstLine="643" w:firstLineChars="200"/>
        <w:rPr>
          <w:rStyle w:val="19"/>
          <w:rFonts w:hint="eastAsia" w:ascii="仿宋" w:hAnsi="仿宋" w:eastAsia="仿宋"/>
          <w:b/>
          <w:bCs/>
        </w:rPr>
      </w:pPr>
      <w:bookmarkStart w:id="33" w:name="_Toc70450320"/>
      <w:r>
        <w:rPr>
          <w:rStyle w:val="19"/>
          <w:rFonts w:hint="eastAsia" w:ascii="仿宋" w:hAnsi="仿宋" w:eastAsia="仿宋"/>
          <w:b/>
          <w:bCs/>
          <w:lang w:eastAsia="zh-CN"/>
        </w:rPr>
        <w:t>（</w:t>
      </w:r>
      <w:r>
        <w:rPr>
          <w:rStyle w:val="19"/>
          <w:rFonts w:hint="eastAsia" w:ascii="仿宋" w:hAnsi="仿宋" w:eastAsia="仿宋"/>
          <w:b/>
          <w:bCs/>
          <w:lang w:val="en-US" w:eastAsia="zh-CN"/>
        </w:rPr>
        <w:t>二</w:t>
      </w:r>
      <w:r>
        <w:rPr>
          <w:rStyle w:val="19"/>
          <w:rFonts w:hint="eastAsia" w:ascii="仿宋" w:hAnsi="仿宋" w:eastAsia="仿宋"/>
          <w:b/>
          <w:bCs/>
          <w:lang w:eastAsia="zh-CN"/>
        </w:rPr>
        <w:t>）</w:t>
      </w:r>
      <w:r>
        <w:rPr>
          <w:rStyle w:val="19"/>
          <w:rFonts w:hint="eastAsia" w:ascii="仿宋" w:hAnsi="仿宋" w:eastAsia="仿宋"/>
          <w:b/>
          <w:bCs/>
        </w:rPr>
        <w:t>建议</w:t>
      </w:r>
      <w:bookmarkEnd w:id="33"/>
    </w:p>
    <w:p>
      <w:pPr>
        <w:pageBreakBefore w:val="0"/>
        <w:kinsoku/>
        <w:wordWrap/>
        <w:overflowPunct/>
        <w:topLinePunct w:val="0"/>
        <w:autoSpaceDE/>
        <w:autoSpaceDN/>
        <w:bidi w:val="0"/>
        <w:adjustRightInd/>
        <w:snapToGrid w:val="0"/>
        <w:spacing w:line="560" w:lineRule="exact"/>
        <w:ind w:firstLine="544" w:firstLineChars="200"/>
        <w:rPr>
          <w:rStyle w:val="19"/>
          <w:rFonts w:hint="eastAsia" w:ascii="仿宋_GB2312" w:hAnsi="宋体" w:eastAsia="仿宋_GB2312"/>
          <w:b w:val="0"/>
          <w:spacing w:val="-4"/>
          <w:sz w:val="28"/>
          <w:szCs w:val="28"/>
          <w:lang w:eastAsia="zh-CN"/>
        </w:rPr>
      </w:pPr>
      <w:r>
        <w:rPr>
          <w:rStyle w:val="19"/>
          <w:rFonts w:hint="eastAsia" w:ascii="仿宋_GB2312" w:hAnsi="宋体" w:eastAsia="仿宋_GB2312"/>
          <w:b w:val="0"/>
          <w:spacing w:val="-4"/>
          <w:sz w:val="28"/>
          <w:szCs w:val="28"/>
          <w:lang w:eastAsia="zh-CN"/>
        </w:rPr>
        <w:t>落实预算执行分析,及时了解预算执行差异,合理调整、纠正预算执行偏差，切实提高部门预算收支管理水平。尽可能地做到决算与预算相衔接。</w:t>
      </w:r>
    </w:p>
    <w:p>
      <w:pPr>
        <w:pageBreakBefore w:val="0"/>
        <w:kinsoku/>
        <w:wordWrap/>
        <w:overflowPunct/>
        <w:topLinePunct w:val="0"/>
        <w:autoSpaceDE/>
        <w:autoSpaceDN/>
        <w:bidi w:val="0"/>
        <w:adjustRightInd/>
        <w:snapToGrid w:val="0"/>
        <w:spacing w:line="560" w:lineRule="exact"/>
        <w:ind w:firstLine="544" w:firstLineChars="200"/>
        <w:rPr>
          <w:rStyle w:val="19"/>
          <w:rFonts w:hint="default" w:ascii="仿宋_GB2312" w:hAnsi="宋体" w:eastAsia="仿宋_GB2312"/>
          <w:b w:val="0"/>
          <w:spacing w:val="-4"/>
          <w:sz w:val="28"/>
          <w:szCs w:val="28"/>
          <w:lang w:val="en-US" w:eastAsia="zh-CN"/>
        </w:rPr>
      </w:pPr>
      <w:r>
        <w:rPr>
          <w:rStyle w:val="19"/>
          <w:rFonts w:hint="eastAsia" w:ascii="仿宋_GB2312" w:hAnsi="宋体" w:eastAsia="仿宋_GB2312"/>
          <w:b w:val="0"/>
          <w:spacing w:val="-4"/>
          <w:sz w:val="28"/>
          <w:szCs w:val="28"/>
          <w:lang w:eastAsia="zh-CN"/>
        </w:rPr>
        <w:t>加强新行政单位会计制度和新预算法学习培训、规范账务处理，加强新《预算法》、《行政单位会计制度》 、《会计法》 、《行政单位财务规则》等学习培训,规范部门预算收支核算</w:t>
      </w:r>
    </w:p>
    <w:p>
      <w:pPr>
        <w:pageBreakBefore w:val="0"/>
        <w:kinsoku/>
        <w:wordWrap/>
        <w:overflowPunct/>
        <w:topLinePunct w:val="0"/>
        <w:autoSpaceDE/>
        <w:autoSpaceDN/>
        <w:bidi w:val="0"/>
        <w:adjustRightInd/>
        <w:spacing w:line="560" w:lineRule="exact"/>
      </w:pPr>
    </w:p>
    <w:p>
      <w:pPr>
        <w:pStyle w:val="4"/>
        <w:pageBreakBefore w:val="0"/>
        <w:kinsoku/>
        <w:wordWrap/>
        <w:overflowPunct/>
        <w:topLinePunct w:val="0"/>
        <w:autoSpaceDE/>
        <w:autoSpaceDN/>
        <w:bidi w:val="0"/>
        <w:adjustRightInd/>
        <w:spacing w:before="0" w:after="0" w:line="560" w:lineRule="exact"/>
        <w:ind w:firstLine="723" w:firstLineChars="200"/>
        <w:rPr>
          <w:rStyle w:val="19"/>
          <w:rFonts w:ascii="仿宋" w:hAnsi="仿宋" w:eastAsia="仿宋"/>
          <w:b/>
          <w:bCs/>
          <w:sz w:val="36"/>
          <w:szCs w:val="36"/>
        </w:rPr>
      </w:pPr>
      <w:bookmarkStart w:id="34" w:name="_Toc70450321"/>
      <w:r>
        <w:rPr>
          <w:rStyle w:val="19"/>
          <w:rFonts w:hint="eastAsia" w:ascii="仿宋" w:hAnsi="仿宋" w:eastAsia="仿宋"/>
          <w:b/>
          <w:bCs/>
          <w:sz w:val="36"/>
          <w:szCs w:val="36"/>
        </w:rPr>
        <w:t>八、附表</w:t>
      </w:r>
      <w:r>
        <w:rPr>
          <w:rStyle w:val="19"/>
          <w:rFonts w:hint="eastAsia" w:ascii="仿宋" w:hAnsi="仿宋" w:eastAsia="仿宋"/>
          <w:b w:val="0"/>
          <w:bCs w:val="0"/>
          <w:spacing w:val="-4"/>
          <w:sz w:val="36"/>
          <w:szCs w:val="36"/>
        </w:rPr>
        <w:t>：</w:t>
      </w:r>
      <w:bookmarkStart w:id="35" w:name="_Hlk70450148"/>
      <w:r>
        <w:rPr>
          <w:rStyle w:val="19"/>
          <w:rFonts w:hint="eastAsia" w:ascii="仿宋" w:hAnsi="仿宋" w:eastAsia="仿宋"/>
          <w:b/>
          <w:bCs/>
          <w:sz w:val="36"/>
          <w:szCs w:val="36"/>
        </w:rPr>
        <w:t>《部门整体支出绩效目标自评表》</w:t>
      </w:r>
      <w:bookmarkEnd w:id="34"/>
      <w:bookmarkEnd w:id="35"/>
    </w:p>
    <w:p>
      <w:pPr>
        <w:pageBreakBefore w:val="0"/>
        <w:kinsoku/>
        <w:wordWrap/>
        <w:overflowPunct/>
        <w:topLinePunct w:val="0"/>
        <w:autoSpaceDE/>
        <w:autoSpaceDN/>
        <w:bidi w:val="0"/>
        <w:adjustRightInd/>
        <w:spacing w:line="560" w:lineRule="exact"/>
      </w:pPr>
      <w:r>
        <w:br w:type="page"/>
      </w:r>
    </w:p>
    <w:tbl>
      <w:tblPr>
        <w:tblStyle w:val="17"/>
        <w:tblW w:w="8213" w:type="dxa"/>
        <w:tblInd w:w="93" w:type="dxa"/>
        <w:tblLayout w:type="fixed"/>
        <w:tblCellMar>
          <w:top w:w="0" w:type="dxa"/>
          <w:left w:w="108" w:type="dxa"/>
          <w:bottom w:w="0" w:type="dxa"/>
          <w:right w:w="108" w:type="dxa"/>
        </w:tblCellMar>
      </w:tblPr>
      <w:tblGrid>
        <w:gridCol w:w="732"/>
        <w:gridCol w:w="1114"/>
        <w:gridCol w:w="1661"/>
        <w:gridCol w:w="784"/>
        <w:gridCol w:w="784"/>
        <w:gridCol w:w="785"/>
        <w:gridCol w:w="784"/>
        <w:gridCol w:w="392"/>
        <w:gridCol w:w="392"/>
        <w:gridCol w:w="785"/>
      </w:tblGrid>
      <w:tr>
        <w:tblPrEx>
          <w:tblCellMar>
            <w:top w:w="0" w:type="dxa"/>
            <w:left w:w="108" w:type="dxa"/>
            <w:bottom w:w="0" w:type="dxa"/>
            <w:right w:w="108" w:type="dxa"/>
          </w:tblCellMar>
        </w:tblPrEx>
        <w:trPr>
          <w:trHeight w:val="40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213"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84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36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特克斯县交通运输局</w:t>
            </w:r>
          </w:p>
        </w:tc>
      </w:tr>
      <w:tr>
        <w:tblPrEx>
          <w:tblCellMar>
            <w:top w:w="0" w:type="dxa"/>
            <w:left w:w="108" w:type="dxa"/>
            <w:bottom w:w="0" w:type="dxa"/>
            <w:right w:w="108" w:type="dxa"/>
          </w:tblCellMar>
        </w:tblPrEx>
        <w:trPr>
          <w:trHeight w:val="285" w:hRule="atLeast"/>
        </w:trPr>
        <w:tc>
          <w:tcPr>
            <w:tcW w:w="732"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114"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661"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353"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3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78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78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784"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85"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single" w:color="auto" w:sz="4" w:space="0"/>
              <w:bottom w:val="single" w:color="000000"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人员保障</w:t>
            </w:r>
          </w:p>
        </w:tc>
        <w:tc>
          <w:tcPr>
            <w:tcW w:w="166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用于保障单位人员发放工资福利支出及对个人和家庭补助支出</w:t>
            </w:r>
          </w:p>
        </w:tc>
        <w:tc>
          <w:tcPr>
            <w:tcW w:w="7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157.08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157.08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i w:val="0"/>
                <w:iCs w:val="0"/>
                <w:color w:val="000000"/>
                <w:kern w:val="0"/>
                <w:sz w:val="20"/>
                <w:szCs w:val="20"/>
                <w:u w:val="none"/>
                <w:lang w:val="en-US" w:eastAsia="zh-CN" w:bidi="ar"/>
              </w:rPr>
              <w:t xml:space="preserve">157.08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157.08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运转保障</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用于日常办公费、取暖费、三公经费、工会经费、福利费及其他商品和服务支出</w:t>
            </w:r>
          </w:p>
        </w:tc>
        <w:tc>
          <w:tcPr>
            <w:tcW w:w="7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5.60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5.60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i w:val="0"/>
                <w:iCs w:val="0"/>
                <w:color w:val="000000"/>
                <w:kern w:val="0"/>
                <w:sz w:val="20"/>
                <w:szCs w:val="20"/>
                <w:u w:val="none"/>
                <w:lang w:val="en-US" w:eastAsia="zh-CN" w:bidi="ar"/>
              </w:rPr>
              <w:t xml:space="preserve">5.60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0"/>
                <w:szCs w:val="20"/>
                <w:u w:val="none"/>
                <w:lang w:val="en-US" w:eastAsia="zh-CN" w:bidi="ar"/>
              </w:rPr>
              <w:t xml:space="preserve">5.60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775"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b/>
                <w:bCs/>
                <w:i w:val="0"/>
                <w:iCs w:val="0"/>
                <w:color w:val="000000"/>
                <w:kern w:val="0"/>
                <w:sz w:val="24"/>
                <w:szCs w:val="24"/>
                <w:u w:val="none"/>
                <w:lang w:val="en-US" w:eastAsia="zh-CN" w:bidi="ar"/>
              </w:rPr>
              <w:t>金额合计</w:t>
            </w:r>
          </w:p>
        </w:tc>
        <w:tc>
          <w:tcPr>
            <w:tcW w:w="784"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4"/>
                <w:szCs w:val="24"/>
                <w:u w:val="none"/>
                <w:lang w:val="en-US" w:eastAsia="zh-CN" w:bidi="ar"/>
              </w:rPr>
              <w:t xml:space="preserve">162.68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4"/>
                <w:szCs w:val="24"/>
                <w:u w:val="none"/>
                <w:lang w:val="en-US" w:eastAsia="zh-CN" w:bidi="ar"/>
              </w:rPr>
              <w:t xml:space="preserve">162.68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4"/>
                <w:szCs w:val="24"/>
                <w:u w:val="none"/>
                <w:lang w:val="en-US" w:eastAsia="zh-CN" w:bidi="ar"/>
              </w:rPr>
              <w:t xml:space="preserve">0.00 </w:t>
            </w:r>
          </w:p>
        </w:tc>
        <w:tc>
          <w:tcPr>
            <w:tcW w:w="7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i w:val="0"/>
                <w:iCs w:val="0"/>
                <w:color w:val="000000"/>
                <w:kern w:val="0"/>
                <w:sz w:val="24"/>
                <w:szCs w:val="24"/>
                <w:u w:val="none"/>
                <w:lang w:val="en-US" w:eastAsia="zh-CN" w:bidi="ar"/>
              </w:rPr>
              <w:t xml:space="preserve">162.68 </w:t>
            </w:r>
          </w:p>
        </w:tc>
        <w:tc>
          <w:tcPr>
            <w:tcW w:w="78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i w:val="0"/>
                <w:iCs w:val="0"/>
                <w:color w:val="000000"/>
                <w:kern w:val="0"/>
                <w:sz w:val="24"/>
                <w:szCs w:val="24"/>
                <w:u w:val="none"/>
                <w:lang w:val="en-US" w:eastAsia="zh-CN" w:bidi="ar"/>
              </w:rPr>
              <w:t xml:space="preserve">162.68 </w:t>
            </w:r>
          </w:p>
        </w:tc>
        <w:tc>
          <w:tcPr>
            <w:tcW w:w="78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5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6"/>
                <w:szCs w:val="16"/>
              </w:rPr>
            </w:pPr>
            <w:r>
              <w:rPr>
                <w:rFonts w:hint="eastAsia" w:ascii="宋体" w:hAnsi="宋体" w:eastAsia="宋体" w:cs="宋体"/>
                <w:b/>
                <w:bCs/>
                <w:i w:val="0"/>
                <w:iCs w:val="0"/>
                <w:color w:val="000000"/>
                <w:kern w:val="0"/>
                <w:sz w:val="24"/>
                <w:szCs w:val="24"/>
                <w:u w:val="none"/>
                <w:lang w:val="en-US" w:eastAsia="zh-CN" w:bidi="ar"/>
              </w:rPr>
              <w:t>预期目标</w:t>
            </w:r>
          </w:p>
        </w:tc>
        <w:tc>
          <w:tcPr>
            <w:tcW w:w="3922"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sz w:val="16"/>
                <w:szCs w:val="16"/>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55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16"/>
                <w:szCs w:val="16"/>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1.保证单位财政供养人员基本工资、津贴补贴、艰边补助预算的收支，确保单位工作正常开展，提升工作效率。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2.强化执法队伍建设、加大行政规范力度、深化行政审批改革，进一步减少审批环节，简化办事程序，切实为基层、企业和群众提供透明、便捷、高效的服务、提高党政机关执行力和公信力</w:t>
            </w:r>
          </w:p>
        </w:tc>
        <w:tc>
          <w:tcPr>
            <w:tcW w:w="3922"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1.保证单位财政供养人员基本工资、津贴补贴、艰边补助预算的收支，确保单位工作正常开展，提升工作效率。</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2.强化执法队伍建设、加大行政规范力度、深化行政审批改革，进一步减少审批环节，简化办事程序，切实为基层、企业和群众提供透明、便捷、高效的服务、提高党政机关执行力和公信力</w:t>
            </w:r>
          </w:p>
        </w:tc>
      </w:tr>
      <w:tr>
        <w:tblPrEx>
          <w:tblCellMar>
            <w:top w:w="0" w:type="dxa"/>
            <w:left w:w="108" w:type="dxa"/>
            <w:bottom w:w="0" w:type="dxa"/>
            <w:right w:w="108" w:type="dxa"/>
          </w:tblCellMar>
        </w:tblPrEx>
        <w:trPr>
          <w:trHeight w:val="285" w:hRule="atLeast"/>
        </w:trPr>
        <w:tc>
          <w:tcPr>
            <w:tcW w:w="732"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w:t>
            </w:r>
            <w:bookmarkStart w:id="36" w:name="_GoBack"/>
            <w:r>
              <w:rPr>
                <w:rFonts w:hint="eastAsia" w:ascii="宋体" w:hAnsi="宋体" w:eastAsia="宋体" w:cs="宋体"/>
                <w:b/>
                <w:bCs/>
                <w:i w:val="0"/>
                <w:iCs w:val="0"/>
                <w:color w:val="000000"/>
                <w:kern w:val="0"/>
                <w:sz w:val="24"/>
                <w:szCs w:val="24"/>
                <w:u w:val="none"/>
                <w:lang w:val="en-US" w:eastAsia="zh-CN" w:bidi="ar"/>
              </w:rPr>
              <w:t>绩效</w:t>
            </w:r>
            <w:bookmarkEnd w:id="36"/>
            <w:r>
              <w:rPr>
                <w:rFonts w:hint="eastAsia" w:ascii="宋体" w:hAnsi="宋体" w:eastAsia="宋体" w:cs="宋体"/>
                <w:b/>
                <w:bCs/>
                <w:i w:val="0"/>
                <w:iCs w:val="0"/>
                <w:color w:val="000000"/>
                <w:kern w:val="0"/>
                <w:sz w:val="24"/>
                <w:szCs w:val="24"/>
                <w:u w:val="none"/>
                <w:lang w:val="en-US" w:eastAsia="zh-CN" w:bidi="ar"/>
              </w:rPr>
              <w:t>指标</w:t>
            </w:r>
          </w:p>
        </w:tc>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66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三级指标</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177"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产出指标</w:t>
            </w:r>
          </w:p>
        </w:tc>
        <w:tc>
          <w:tcPr>
            <w:tcW w:w="16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数量指标</w:t>
            </w: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保障单位实有人数</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≧24人</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24人</w:t>
            </w:r>
          </w:p>
        </w:tc>
      </w:tr>
      <w:tr>
        <w:tblPrEx>
          <w:tblCellMar>
            <w:top w:w="0" w:type="dxa"/>
            <w:left w:w="108" w:type="dxa"/>
            <w:bottom w:w="0" w:type="dxa"/>
            <w:right w:w="108" w:type="dxa"/>
          </w:tblCellMar>
        </w:tblPrEx>
        <w:trPr>
          <w:trHeight w:val="2070"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66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单位下设设科室及所属单位数</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‘=3个</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3个</w:t>
            </w:r>
          </w:p>
        </w:tc>
      </w:tr>
      <w:tr>
        <w:tblPrEx>
          <w:tblCellMar>
            <w:top w:w="0" w:type="dxa"/>
            <w:left w:w="108" w:type="dxa"/>
            <w:bottom w:w="0" w:type="dxa"/>
            <w:right w:w="108" w:type="dxa"/>
          </w:tblCellMar>
        </w:tblPrEx>
        <w:trPr>
          <w:trHeight w:val="885" w:hRule="atLeast"/>
        </w:trPr>
        <w:tc>
          <w:tcPr>
            <w:tcW w:w="732"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1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1661"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质量指标</w:t>
            </w:r>
          </w:p>
        </w:tc>
        <w:tc>
          <w:tcPr>
            <w:tcW w:w="2353"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全局人员工资、社保正常发放准确率</w:t>
            </w:r>
          </w:p>
        </w:tc>
        <w:tc>
          <w:tcPr>
            <w:tcW w:w="117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18"/>
                <w:szCs w:val="18"/>
              </w:rPr>
            </w:pPr>
          </w:p>
        </w:tc>
        <w:tc>
          <w:tcPr>
            <w:tcW w:w="1661"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时效指标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工资及社保发放及时性</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公用经费支付及时性</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成本指标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人均支出标准</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≤9.82万元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9.82万元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人均运转经费数</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≤5.6万元</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5.6万元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效益指标</w:t>
            </w: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经济效益指标</w:t>
            </w: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较上年道路沿线居民收入人均提高</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≥1000元</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1000元</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社会效益指标</w:t>
            </w: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对14个企业安全生产检查达到全覆盖</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18"/>
                <w:szCs w:val="18"/>
              </w:rPr>
            </w:pP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深化放管服，落实落细政务“一站式”服务</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逐步完善</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逐步完善</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确保局机关日常工作运转</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生态效益指标</w:t>
            </w: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项目完工后对开垦的料场进行植被恢复</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可持续影响指标</w:t>
            </w:r>
          </w:p>
        </w:tc>
        <w:tc>
          <w:tcPr>
            <w:tcW w:w="235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道路可使用年限</w:t>
            </w:r>
          </w:p>
        </w:tc>
        <w:tc>
          <w:tcPr>
            <w:tcW w:w="11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≥8年</w:t>
            </w:r>
          </w:p>
        </w:tc>
        <w:tc>
          <w:tcPr>
            <w:tcW w:w="1177"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10年</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满意度指标</w:t>
            </w:r>
          </w:p>
        </w:tc>
        <w:tc>
          <w:tcPr>
            <w:tcW w:w="1661"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24"/>
                <w:szCs w:val="24"/>
                <w:u w:val="none"/>
                <w:lang w:val="en-US" w:eastAsia="zh-CN" w:bidi="ar"/>
              </w:rPr>
              <w:t>满意度指标</w:t>
            </w: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交通运输服务对象满意度  </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≥93%</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93%</w:t>
            </w:r>
          </w:p>
        </w:tc>
      </w:tr>
      <w:tr>
        <w:tblPrEx>
          <w:tblCellMar>
            <w:top w:w="0" w:type="dxa"/>
            <w:left w:w="108" w:type="dxa"/>
            <w:bottom w:w="0" w:type="dxa"/>
            <w:right w:w="108" w:type="dxa"/>
          </w:tblCellMar>
        </w:tblPrEx>
        <w:trPr>
          <w:trHeight w:val="285" w:hRule="atLeast"/>
        </w:trPr>
        <w:tc>
          <w:tcPr>
            <w:tcW w:w="732"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14"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18"/>
                <w:szCs w:val="18"/>
              </w:rPr>
            </w:pPr>
          </w:p>
        </w:tc>
        <w:tc>
          <w:tcPr>
            <w:tcW w:w="1661"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18"/>
                <w:szCs w:val="18"/>
              </w:rPr>
            </w:pPr>
          </w:p>
        </w:tc>
        <w:tc>
          <w:tcPr>
            <w:tcW w:w="235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18"/>
                <w:szCs w:val="18"/>
              </w:rPr>
            </w:pPr>
            <w:r>
              <w:rPr>
                <w:rFonts w:hint="eastAsia" w:ascii="宋体" w:hAnsi="宋体" w:eastAsia="宋体" w:cs="宋体"/>
                <w:i w:val="0"/>
                <w:iCs w:val="0"/>
                <w:color w:val="000000"/>
                <w:kern w:val="0"/>
                <w:sz w:val="20"/>
                <w:szCs w:val="20"/>
                <w:u w:val="none"/>
                <w:lang w:val="en-US" w:eastAsia="zh-CN" w:bidi="ar"/>
              </w:rPr>
              <w:t>相关企业满意度</w:t>
            </w:r>
          </w:p>
        </w:tc>
        <w:tc>
          <w:tcPr>
            <w:tcW w:w="1176"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≥93%</w:t>
            </w:r>
          </w:p>
        </w:tc>
        <w:tc>
          <w:tcPr>
            <w:tcW w:w="117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sz w:val="18"/>
                <w:szCs w:val="18"/>
              </w:rPr>
            </w:pPr>
            <w:r>
              <w:rPr>
                <w:rFonts w:hint="eastAsia" w:ascii="宋体" w:hAnsi="宋体" w:eastAsia="宋体" w:cs="宋体"/>
                <w:i w:val="0"/>
                <w:iCs w:val="0"/>
                <w:color w:val="000000"/>
                <w:kern w:val="0"/>
                <w:sz w:val="20"/>
                <w:szCs w:val="20"/>
                <w:u w:val="none"/>
                <w:lang w:val="en-US" w:eastAsia="zh-CN" w:bidi="ar"/>
              </w:rPr>
              <w:t>93%</w:t>
            </w:r>
          </w:p>
        </w:tc>
      </w:tr>
    </w:tbl>
    <w:p>
      <w:pPr>
        <w:pageBreakBefore w:val="0"/>
        <w:kinsoku/>
        <w:wordWrap/>
        <w:overflowPunct/>
        <w:topLinePunct w:val="0"/>
        <w:autoSpaceDE/>
        <w:autoSpaceDN/>
        <w:bidi w:val="0"/>
        <w:adjustRightInd/>
        <w:spacing w:line="560" w:lineRule="exact"/>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10"/>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1DB904"/>
    <w:multiLevelType w:val="singleLevel"/>
    <w:tmpl w:val="801DB904"/>
    <w:lvl w:ilvl="0" w:tentative="0">
      <w:start w:val="7"/>
      <w:numFmt w:val="decimal"/>
      <w:suff w:val="nothing"/>
      <w:lvlText w:val="%1、"/>
      <w:lvlJc w:val="left"/>
    </w:lvl>
  </w:abstractNum>
  <w:abstractNum w:abstractNumId="1">
    <w:nsid w:val="904F413C"/>
    <w:multiLevelType w:val="singleLevel"/>
    <w:tmpl w:val="904F413C"/>
    <w:lvl w:ilvl="0" w:tentative="0">
      <w:start w:val="1"/>
      <w:numFmt w:val="decimal"/>
      <w:suff w:val="nothing"/>
      <w:lvlText w:val="%1、"/>
      <w:lvlJc w:val="left"/>
    </w:lvl>
  </w:abstractNum>
  <w:abstractNum w:abstractNumId="2">
    <w:nsid w:val="DF515F27"/>
    <w:multiLevelType w:val="singleLevel"/>
    <w:tmpl w:val="DF515F27"/>
    <w:lvl w:ilvl="0" w:tentative="0">
      <w:start w:val="1"/>
      <w:numFmt w:val="decimal"/>
      <w:lvlText w:val="%1."/>
      <w:lvlJc w:val="left"/>
      <w:pPr>
        <w:tabs>
          <w:tab w:val="left" w:pos="312"/>
        </w:tabs>
      </w:pPr>
    </w:lvl>
  </w:abstractNum>
  <w:abstractNum w:abstractNumId="3">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066F"/>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2535CBD"/>
    <w:rsid w:val="058645E3"/>
    <w:rsid w:val="07B8588B"/>
    <w:rsid w:val="0E9A5E97"/>
    <w:rsid w:val="0F331D5A"/>
    <w:rsid w:val="10180271"/>
    <w:rsid w:val="1A5078F3"/>
    <w:rsid w:val="1D2735BA"/>
    <w:rsid w:val="1EB60E4D"/>
    <w:rsid w:val="21F01F8C"/>
    <w:rsid w:val="26434364"/>
    <w:rsid w:val="31ED5D00"/>
    <w:rsid w:val="34FF53FE"/>
    <w:rsid w:val="3A2434F2"/>
    <w:rsid w:val="3D2A575F"/>
    <w:rsid w:val="3EEE4458"/>
    <w:rsid w:val="40D7128C"/>
    <w:rsid w:val="493B385B"/>
    <w:rsid w:val="4EC550CF"/>
    <w:rsid w:val="5264413D"/>
    <w:rsid w:val="548C0064"/>
    <w:rsid w:val="60381B20"/>
    <w:rsid w:val="64F6799B"/>
    <w:rsid w:val="661D0A99"/>
    <w:rsid w:val="6D0D7C67"/>
    <w:rsid w:val="6D1B1C52"/>
    <w:rsid w:val="6D8B3FD7"/>
    <w:rsid w:val="748C10EC"/>
    <w:rsid w:val="76912D49"/>
    <w:rsid w:val="78EB5918"/>
    <w:rsid w:val="7BA424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rPr>
      <w:rFonts w:ascii="Calibri" w:hAnsi="Calibri" w:eastAsia="宋体" w:cs="Arial"/>
    </w:rPr>
  </w:style>
  <w:style w:type="paragraph" w:styleId="7">
    <w:name w:val="Body Text Indent"/>
    <w:basedOn w:val="1"/>
    <w:next w:val="8"/>
    <w:qFormat/>
    <w:uiPriority w:val="0"/>
    <w:pPr>
      <w:spacing w:after="120" w:afterLines="0" w:afterAutospacing="0"/>
      <w:ind w:left="420" w:leftChars="200"/>
    </w:pPr>
  </w:style>
  <w:style w:type="paragraph" w:styleId="8">
    <w:name w:val="Body Text First Indent 2"/>
    <w:basedOn w:val="7"/>
    <w:next w:val="1"/>
    <w:qFormat/>
    <w:uiPriority w:val="0"/>
    <w:pPr>
      <w:ind w:firstLine="420" w:firstLineChars="200"/>
    </w:pPr>
  </w:style>
  <w:style w:type="paragraph" w:styleId="9">
    <w:name w:val="toc 3"/>
    <w:basedOn w:val="1"/>
    <w:next w:val="1"/>
    <w:unhideWhenUsed/>
    <w:qFormat/>
    <w:uiPriority w:val="39"/>
    <w:pPr>
      <w:ind w:left="840" w:leftChars="400"/>
    </w:pPr>
  </w:style>
  <w:style w:type="paragraph" w:styleId="10">
    <w:name w:val="footer"/>
    <w:basedOn w:val="1"/>
    <w:link w:val="23"/>
    <w:unhideWhenUsed/>
    <w:qFormat/>
    <w:uiPriority w:val="99"/>
    <w:pPr>
      <w:tabs>
        <w:tab w:val="center" w:pos="4153"/>
        <w:tab w:val="right" w:pos="8306"/>
      </w:tabs>
      <w:snapToGrid w:val="0"/>
      <w:jc w:val="left"/>
    </w:pPr>
    <w:rPr>
      <w:sz w:val="18"/>
      <w:szCs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4"/>
    <w:basedOn w:val="1"/>
    <w:next w:val="1"/>
    <w:unhideWhenUsed/>
    <w:qFormat/>
    <w:uiPriority w:val="39"/>
    <w:pPr>
      <w:ind w:left="1260" w:leftChars="600"/>
    </w:pPr>
  </w:style>
  <w:style w:type="paragraph" w:styleId="13">
    <w:name w:val="Subtitle"/>
    <w:basedOn w:val="1"/>
    <w:next w:val="1"/>
    <w:link w:val="27"/>
    <w:qFormat/>
    <w:uiPriority w:val="11"/>
    <w:pPr>
      <w:spacing w:before="240" w:after="60" w:line="312" w:lineRule="auto"/>
      <w:jc w:val="center"/>
      <w:outlineLvl w:val="1"/>
    </w:pPr>
    <w:rPr>
      <w:b/>
      <w:bCs/>
      <w:kern w:val="28"/>
      <w:sz w:val="32"/>
      <w:szCs w:val="32"/>
    </w:rPr>
  </w:style>
  <w:style w:type="paragraph" w:styleId="14">
    <w:name w:val="toc 2"/>
    <w:basedOn w:val="1"/>
    <w:next w:val="1"/>
    <w:unhideWhenUsed/>
    <w:qFormat/>
    <w:uiPriority w:val="39"/>
    <w:pPr>
      <w:ind w:left="420" w:leftChars="200"/>
    </w:pPr>
  </w:style>
  <w:style w:type="paragraph" w:styleId="15">
    <w:name w:val="Normal (Web)"/>
    <w:basedOn w:val="1"/>
    <w:qFormat/>
    <w:uiPriority w:val="99"/>
    <w:pPr>
      <w:spacing w:before="100" w:beforeAutospacing="1" w:after="100" w:afterAutospacing="1"/>
      <w:jc w:val="left"/>
    </w:pPr>
    <w:rPr>
      <w:rFonts w:cs="Times New Roman"/>
      <w:sz w:val="24"/>
    </w:rPr>
  </w:style>
  <w:style w:type="paragraph" w:styleId="16">
    <w:name w:val="Title"/>
    <w:basedOn w:val="1"/>
    <w:next w:val="1"/>
    <w:link w:val="25"/>
    <w:qFormat/>
    <w:uiPriority w:val="10"/>
    <w:pPr>
      <w:spacing w:before="240" w:after="60"/>
      <w:jc w:val="center"/>
      <w:outlineLvl w:val="0"/>
    </w:pPr>
    <w:rPr>
      <w:rFonts w:asciiTheme="majorHAnsi" w:hAnsiTheme="majorHAnsi" w:eastAsiaTheme="majorEastAsia" w:cstheme="majorBidi"/>
      <w:b/>
      <w:bCs/>
      <w:sz w:val="32"/>
      <w:szCs w:val="32"/>
    </w:rPr>
  </w:style>
  <w:style w:type="character" w:styleId="19">
    <w:name w:val="Strong"/>
    <w:basedOn w:val="18"/>
    <w:qFormat/>
    <w:uiPriority w:val="0"/>
    <w:rPr>
      <w:b/>
      <w:bCs/>
    </w:rPr>
  </w:style>
  <w:style w:type="character" w:styleId="20">
    <w:name w:val="Emphasis"/>
    <w:basedOn w:val="18"/>
    <w:qFormat/>
    <w:uiPriority w:val="20"/>
    <w:rPr>
      <w:i/>
    </w:rPr>
  </w:style>
  <w:style w:type="character" w:styleId="21">
    <w:name w:val="Hyperlink"/>
    <w:basedOn w:val="18"/>
    <w:unhideWhenUsed/>
    <w:qFormat/>
    <w:uiPriority w:val="99"/>
    <w:rPr>
      <w:color w:val="0000FF" w:themeColor="hyperlink"/>
      <w:u w:val="single"/>
      <w14:textFill>
        <w14:solidFill>
          <w14:schemeClr w14:val="hlink"/>
        </w14:solidFill>
      </w14:textFill>
    </w:rPr>
  </w:style>
  <w:style w:type="character" w:customStyle="1" w:styleId="22">
    <w:name w:val="页眉 字符"/>
    <w:basedOn w:val="18"/>
    <w:link w:val="11"/>
    <w:qFormat/>
    <w:uiPriority w:val="99"/>
    <w:rPr>
      <w:sz w:val="18"/>
      <w:szCs w:val="18"/>
    </w:rPr>
  </w:style>
  <w:style w:type="character" w:customStyle="1" w:styleId="23">
    <w:name w:val="页脚 字符"/>
    <w:basedOn w:val="18"/>
    <w:link w:val="10"/>
    <w:qFormat/>
    <w:uiPriority w:val="99"/>
    <w:rPr>
      <w:sz w:val="18"/>
      <w:szCs w:val="18"/>
    </w:rPr>
  </w:style>
  <w:style w:type="paragraph" w:styleId="24">
    <w:name w:val="List Paragraph"/>
    <w:basedOn w:val="1"/>
    <w:unhideWhenUsed/>
    <w:qFormat/>
    <w:uiPriority w:val="99"/>
    <w:pPr>
      <w:ind w:firstLine="420" w:firstLineChars="200"/>
    </w:pPr>
  </w:style>
  <w:style w:type="character" w:customStyle="1" w:styleId="25">
    <w:name w:val="标题 字符"/>
    <w:basedOn w:val="18"/>
    <w:link w:val="16"/>
    <w:qFormat/>
    <w:uiPriority w:val="10"/>
    <w:rPr>
      <w:rFonts w:asciiTheme="majorHAnsi" w:hAnsiTheme="majorHAnsi" w:eastAsiaTheme="majorEastAsia" w:cstheme="majorBidi"/>
      <w:b/>
      <w:bCs/>
      <w:sz w:val="32"/>
      <w:szCs w:val="32"/>
    </w:rPr>
  </w:style>
  <w:style w:type="character" w:customStyle="1" w:styleId="26">
    <w:name w:val="标题 2 字符"/>
    <w:basedOn w:val="18"/>
    <w:link w:val="4"/>
    <w:qFormat/>
    <w:uiPriority w:val="9"/>
    <w:rPr>
      <w:rFonts w:asciiTheme="majorHAnsi" w:hAnsiTheme="majorHAnsi" w:eastAsiaTheme="majorEastAsia" w:cstheme="majorBidi"/>
      <w:b/>
      <w:bCs/>
      <w:sz w:val="32"/>
      <w:szCs w:val="32"/>
    </w:rPr>
  </w:style>
  <w:style w:type="character" w:customStyle="1" w:styleId="27">
    <w:name w:val="副标题 字符"/>
    <w:basedOn w:val="18"/>
    <w:link w:val="13"/>
    <w:qFormat/>
    <w:uiPriority w:val="11"/>
    <w:rPr>
      <w:b/>
      <w:bCs/>
      <w:kern w:val="28"/>
      <w:sz w:val="32"/>
      <w:szCs w:val="32"/>
    </w:rPr>
  </w:style>
  <w:style w:type="character" w:customStyle="1" w:styleId="28">
    <w:name w:val="标题 3 字符"/>
    <w:basedOn w:val="18"/>
    <w:link w:val="5"/>
    <w:qFormat/>
    <w:uiPriority w:val="9"/>
    <w:rPr>
      <w:b/>
      <w:bCs/>
      <w:sz w:val="32"/>
      <w:szCs w:val="32"/>
    </w:rPr>
  </w:style>
  <w:style w:type="character" w:styleId="29">
    <w:name w:val="Placeholder Text"/>
    <w:basedOn w:val="18"/>
    <w:semiHidden/>
    <w:qFormat/>
    <w:uiPriority w:val="99"/>
    <w:rPr>
      <w:color w:val="808080"/>
    </w:rPr>
  </w:style>
  <w:style w:type="character" w:customStyle="1" w:styleId="30">
    <w:name w:val="标题 1 字符"/>
    <w:basedOn w:val="18"/>
    <w:link w:val="3"/>
    <w:qFormat/>
    <w:uiPriority w:val="9"/>
    <w:rPr>
      <w:b/>
      <w:bCs/>
      <w:kern w:val="44"/>
      <w:sz w:val="44"/>
      <w:szCs w:val="44"/>
    </w:rPr>
  </w:style>
  <w:style w:type="paragraph" w:customStyle="1" w:styleId="31">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2">
    <w:name w:val="标题 4 字符"/>
    <w:basedOn w:val="18"/>
    <w:link w:val="6"/>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11865</Words>
  <Characters>12776</Characters>
  <Lines>72</Lines>
  <Paragraphs>20</Paragraphs>
  <TotalTime>7</TotalTime>
  <ScaleCrop>false</ScaleCrop>
  <LinksUpToDate>false</LinksUpToDate>
  <CharactersWithSpaces>12919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2022-05-25T11:28:34Z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C3E5C6D545EF4B31A51F22D2D14F3F6D</vt:lpwstr>
  </property>
</Properties>
</file>